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BC105" w14:textId="7D2F7AD4" w:rsidR="009B5A14" w:rsidRPr="00CA2CC0" w:rsidRDefault="009B5A14" w:rsidP="009B5A14">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5A2802" w:rsidRPr="005A2802">
        <w:rPr>
          <w:rFonts w:cs="Arial"/>
          <w:sz w:val="24"/>
          <w:szCs w:val="24"/>
        </w:rPr>
        <w:t>R4-2300105</w:t>
      </w:r>
    </w:p>
    <w:p w14:paraId="3FB8ABDE" w14:textId="77777777" w:rsidR="009B5A14" w:rsidRPr="00E13633" w:rsidRDefault="009B5A14" w:rsidP="009B5A1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2AA62F54" w14:textId="77777777" w:rsidR="009B5A14" w:rsidRDefault="009B5A14" w:rsidP="009B5A14">
      <w:pPr>
        <w:pStyle w:val="Header"/>
        <w:rPr>
          <w:b w:val="0"/>
          <w:sz w:val="24"/>
        </w:rPr>
      </w:pPr>
    </w:p>
    <w:p w14:paraId="44726E86" w14:textId="77777777" w:rsidR="009B5A14" w:rsidRPr="00E461DD" w:rsidRDefault="009B5A14" w:rsidP="009B5A14">
      <w:pPr>
        <w:tabs>
          <w:tab w:val="left" w:pos="1985"/>
        </w:tabs>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7506EFAE" w14:textId="6A4E7DD7" w:rsidR="009B5A14" w:rsidRPr="00E461DD" w:rsidRDefault="009B5A14" w:rsidP="009B5A14">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FF1E5F" w:rsidRPr="00FF1E5F">
        <w:rPr>
          <w:rFonts w:ascii="Arial" w:hAnsi="Arial"/>
          <w:bCs/>
          <w:sz w:val="24"/>
          <w:lang w:val="en-US"/>
        </w:rPr>
        <w:t>TCI and UE beam switching delay requirements</w:t>
      </w:r>
    </w:p>
    <w:p w14:paraId="2625E0B8" w14:textId="6B237B9B" w:rsidR="009B5A14" w:rsidRPr="00E461DD" w:rsidRDefault="009B5A14" w:rsidP="009B5A14">
      <w:pPr>
        <w:tabs>
          <w:tab w:val="left" w:pos="1985"/>
        </w:tabs>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FF1E5F" w:rsidRPr="00FF1E5F">
        <w:rPr>
          <w:rFonts w:ascii="Arial" w:hAnsi="Arial"/>
          <w:bCs/>
          <w:sz w:val="24"/>
          <w:lang w:val="en-US"/>
        </w:rPr>
        <w:t>9.8.3.5</w:t>
      </w:r>
    </w:p>
    <w:p w14:paraId="2762ABD5" w14:textId="493BF061" w:rsidR="001204FD" w:rsidRPr="00E75BD8" w:rsidRDefault="001204FD" w:rsidP="001204FD">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7F95FF91"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77BEC">
        <w:rPr>
          <w:lang w:val="en-US"/>
        </w:rPr>
        <w:t>the following aspects:</w:t>
      </w:r>
    </w:p>
    <w:p w14:paraId="155AD2E3" w14:textId="77777777" w:rsidR="00D77BEC" w:rsidRPr="00D77BEC" w:rsidRDefault="00D77BEC" w:rsidP="00D77BEC">
      <w:pPr>
        <w:pStyle w:val="ListParagraph"/>
        <w:numPr>
          <w:ilvl w:val="0"/>
          <w:numId w:val="45"/>
        </w:numPr>
        <w:spacing w:after="0"/>
        <w:rPr>
          <w:lang w:val="en-US"/>
        </w:rPr>
      </w:pPr>
      <w:r w:rsidRPr="00D77BEC">
        <w:rPr>
          <w:lang w:val="en-US"/>
        </w:rPr>
        <w:t>QCL chain for Simultaneous Rx based FR2 mTRP and DCI based TCI State Switch Delay</w:t>
      </w:r>
    </w:p>
    <w:p w14:paraId="585915A5" w14:textId="77777777" w:rsidR="00D77BEC" w:rsidRPr="00D77BEC" w:rsidRDefault="00D77BEC" w:rsidP="00D77BEC">
      <w:pPr>
        <w:pStyle w:val="ListParagraph"/>
        <w:numPr>
          <w:ilvl w:val="0"/>
          <w:numId w:val="45"/>
        </w:numPr>
        <w:spacing w:after="0"/>
        <w:rPr>
          <w:lang w:val="en-US"/>
        </w:rPr>
      </w:pPr>
      <w:r w:rsidRPr="00D77BEC">
        <w:rPr>
          <w:lang w:val="en-US"/>
        </w:rPr>
        <w:t>Single vs. Dual TCI State Switch</w:t>
      </w:r>
    </w:p>
    <w:p w14:paraId="6CA04A35" w14:textId="77777777" w:rsidR="00D77BEC" w:rsidRPr="00D77BEC" w:rsidRDefault="00D77BEC" w:rsidP="00D77BEC">
      <w:pPr>
        <w:pStyle w:val="ListParagraph"/>
        <w:numPr>
          <w:ilvl w:val="0"/>
          <w:numId w:val="45"/>
        </w:numPr>
        <w:spacing w:after="0"/>
        <w:rPr>
          <w:lang w:val="en-US"/>
        </w:rPr>
      </w:pPr>
      <w:r w:rsidRPr="00D77BEC">
        <w:rPr>
          <w:lang w:val="en-US"/>
        </w:rPr>
        <w:t>Sequential vs. Parallel TCI State Switch</w:t>
      </w:r>
    </w:p>
    <w:p w14:paraId="7DCE229C" w14:textId="5C4BC957" w:rsidR="00D77BEC" w:rsidRPr="00D77BEC" w:rsidRDefault="00D77BEC" w:rsidP="00D77BEC">
      <w:pPr>
        <w:pStyle w:val="ListParagraph"/>
        <w:numPr>
          <w:ilvl w:val="0"/>
          <w:numId w:val="45"/>
        </w:numPr>
        <w:spacing w:after="0"/>
        <w:rPr>
          <w:lang w:val="en-US"/>
        </w:rPr>
      </w:pPr>
      <w:r w:rsidRPr="00D77BEC">
        <w:rPr>
          <w:lang w:val="en-US"/>
        </w:rPr>
        <w:t>Known vs. Unknown TCI State Switch and TCI State Switch Delay</w:t>
      </w:r>
    </w:p>
    <w:p w14:paraId="7B733F33" w14:textId="3296A277" w:rsidR="00CC52A1" w:rsidRDefault="00BF41B5" w:rsidP="00AD4B20">
      <w:pPr>
        <w:pStyle w:val="Heading1"/>
        <w:rPr>
          <w:lang w:val="en-US"/>
        </w:rPr>
      </w:pPr>
      <w:r>
        <w:rPr>
          <w:lang w:val="en-US"/>
        </w:rPr>
        <w:t>Discussion</w:t>
      </w:r>
    </w:p>
    <w:p w14:paraId="6E171CD4" w14:textId="538D2B0C" w:rsidR="00BE4237" w:rsidRPr="00CE1C76" w:rsidRDefault="00BE4237" w:rsidP="00BE4237">
      <w:pPr>
        <w:rPr>
          <w:rFonts w:eastAsia="Malgun Gothic"/>
          <w:b/>
          <w:bCs/>
          <w:u w:val="single"/>
          <w:lang w:eastAsia="ko-KR"/>
        </w:rPr>
      </w:pPr>
      <w:r>
        <w:rPr>
          <w:rFonts w:eastAsia="Malgun Gothic"/>
          <w:b/>
          <w:bCs/>
          <w:u w:val="single"/>
          <w:lang w:eastAsia="ko-KR"/>
        </w:rPr>
        <w:t>QCL chain for Simultaneous Rx based FR2 mTRP</w:t>
      </w:r>
      <w:r w:rsidR="003C6195">
        <w:rPr>
          <w:rFonts w:eastAsia="Malgun Gothic"/>
          <w:b/>
          <w:bCs/>
          <w:u w:val="single"/>
          <w:lang w:eastAsia="ko-KR"/>
        </w:rPr>
        <w:t xml:space="preserve"> and DCI based TCI State Switch Delay</w:t>
      </w:r>
    </w:p>
    <w:p w14:paraId="57E3846C" w14:textId="41FD9657" w:rsidR="00A473BF" w:rsidRDefault="006116B4" w:rsidP="00A473BF">
      <w:r>
        <w:t>Examples of typical QCL chains for sDCI- and mDCI-based mTRP support are depicted in Figure 1 and Figure 2.</w:t>
      </w:r>
      <w:r w:rsidR="007F5D8B">
        <w:t xml:space="preserve"> As can be seen from the figures, irrespective of sDCI</w:t>
      </w:r>
      <w:r w:rsidR="00A47372">
        <w:t>-</w:t>
      </w:r>
      <w:r w:rsidR="007F5D8B">
        <w:t xml:space="preserve"> and </w:t>
      </w:r>
      <w:r w:rsidR="00A47372">
        <w:t xml:space="preserve">mDCI-based mTRP modes, UE should be able to keep track of two SSBs, one for each TRP, which is the root source of the entire QCL chain. </w:t>
      </w:r>
      <w:r w:rsidR="008B74AF">
        <w:t>Note that DL grant in PDCCH in sDCI-based mTRP mode can schedule PDSHC from the same</w:t>
      </w:r>
      <w:r w:rsidR="002760AD">
        <w:t xml:space="preserve"> TRP</w:t>
      </w:r>
      <w:r w:rsidR="009D51DA">
        <w:t xml:space="preserve"> or</w:t>
      </w:r>
      <w:r w:rsidR="00393C1E">
        <w:t xml:space="preserve"> the other TRP or both TRPs. If the </w:t>
      </w:r>
      <w:r w:rsidR="00BD58E1">
        <w:t xml:space="preserve">PDSCH is from the other TRP and both TRPs, there should be </w:t>
      </w:r>
      <w:r w:rsidR="00E05A90">
        <w:t xml:space="preserve">a gap between the PDCCH and </w:t>
      </w:r>
      <w:r w:rsidR="007A3DA2">
        <w:t xml:space="preserve">the PDSCH which </w:t>
      </w:r>
      <w:r w:rsidR="00EE4598">
        <w:t xml:space="preserve">shall </w:t>
      </w:r>
      <w:r w:rsidR="007A3DA2">
        <w:t xml:space="preserve">not </w:t>
      </w:r>
      <w:r w:rsidR="00EE4598">
        <w:t xml:space="preserve">be </w:t>
      </w:r>
      <w:r w:rsidR="007A3DA2">
        <w:t xml:space="preserve">less than </w:t>
      </w:r>
      <w:r w:rsidR="007A3DA2" w:rsidRPr="007A3DA2">
        <w:rPr>
          <w:i/>
          <w:iCs/>
        </w:rPr>
        <w:t>timeDurationForQCL</w:t>
      </w:r>
      <w:r w:rsidR="0046290F">
        <w:t xml:space="preserve"> </w:t>
      </w:r>
      <w:r w:rsidR="002B362F">
        <w:t>as defined in RAN1 spec</w:t>
      </w:r>
      <w:r w:rsidR="007A3DA2">
        <w:t>.</w:t>
      </w:r>
      <w:r w:rsidR="00F72F63">
        <w:t xml:space="preserve"> </w:t>
      </w:r>
      <w:r w:rsidR="00E04FEB">
        <w:t xml:space="preserve">UE requirement related to the </w:t>
      </w:r>
      <w:r w:rsidR="00F72F63">
        <w:t xml:space="preserve">gap </w:t>
      </w:r>
      <w:r w:rsidR="00531BBB">
        <w:t xml:space="preserve">is </w:t>
      </w:r>
      <w:r w:rsidR="00EE4598">
        <w:t xml:space="preserve">also </w:t>
      </w:r>
      <w:r w:rsidR="00531BBB">
        <w:t xml:space="preserve">currently </w:t>
      </w:r>
      <w:r w:rsidR="00EE4598">
        <w:t xml:space="preserve">defined </w:t>
      </w:r>
      <w:r w:rsidR="003B7CA1">
        <w:t>in</w:t>
      </w:r>
      <w:r w:rsidR="00EE4598">
        <w:t xml:space="preserve"> DCI-based TCI state switch delay requiremen</w:t>
      </w:r>
      <w:r w:rsidR="003B7CA1">
        <w:t xml:space="preserve">t, which can be applied to </w:t>
      </w:r>
      <w:r w:rsidR="00542074">
        <w:t xml:space="preserve">the feature of </w:t>
      </w:r>
      <w:r w:rsidR="003B7CA1">
        <w:t xml:space="preserve">simultaneous </w:t>
      </w:r>
      <w:r w:rsidR="008520BF">
        <w:t>Rx based mTRP</w:t>
      </w:r>
      <w:r w:rsidR="003B7CA1">
        <w:t>.</w:t>
      </w:r>
    </w:p>
    <w:p w14:paraId="5869E98C" w14:textId="08FE8B35" w:rsidR="003B7CA1" w:rsidRDefault="003B7CA1" w:rsidP="00A473BF"/>
    <w:p w14:paraId="35159C1D" w14:textId="2A38D43A" w:rsidR="003C6195" w:rsidRPr="00D734F6" w:rsidRDefault="003C6195" w:rsidP="003C6195">
      <w:pPr>
        <w:jc w:val="both"/>
        <w:rPr>
          <w:b/>
          <w:bCs/>
          <w:lang w:val="en-US"/>
        </w:rPr>
      </w:pPr>
      <w:r w:rsidRPr="006B0359">
        <w:rPr>
          <w:b/>
          <w:bCs/>
        </w:rPr>
        <w:t xml:space="preserve">Proposal </w:t>
      </w:r>
      <w:r>
        <w:rPr>
          <w:b/>
          <w:bCs/>
        </w:rPr>
        <w:t>1</w:t>
      </w:r>
      <w:r w:rsidRPr="006B0359">
        <w:rPr>
          <w:b/>
          <w:bCs/>
        </w:rPr>
        <w:t xml:space="preserve">: </w:t>
      </w:r>
      <w:r w:rsidRPr="00D734F6">
        <w:rPr>
          <w:b/>
          <w:bCs/>
        </w:rPr>
        <w:t xml:space="preserve">RAN4 to </w:t>
      </w:r>
      <w:r>
        <w:rPr>
          <w:b/>
          <w:bCs/>
        </w:rPr>
        <w:t xml:space="preserve">reuse the existing </w:t>
      </w:r>
      <w:r w:rsidR="005B4DE8">
        <w:rPr>
          <w:b/>
          <w:bCs/>
        </w:rPr>
        <w:t xml:space="preserve">requirement of </w:t>
      </w:r>
      <w:r w:rsidR="005B4DE8" w:rsidRPr="005B4DE8">
        <w:rPr>
          <w:b/>
          <w:bCs/>
        </w:rPr>
        <w:t>DCI based TCI state switch delay</w:t>
      </w:r>
      <w:r w:rsidR="005B4DE8">
        <w:rPr>
          <w:b/>
          <w:bCs/>
        </w:rPr>
        <w:t xml:space="preserve"> for </w:t>
      </w:r>
      <w:r w:rsidR="005B4DE8" w:rsidRPr="005B4DE8">
        <w:rPr>
          <w:b/>
          <w:bCs/>
        </w:rPr>
        <w:t>the feature of simultaneous Rx based mTRP</w:t>
      </w:r>
      <w:r w:rsidR="005B4DE8">
        <w:rPr>
          <w:b/>
          <w:bCs/>
        </w:rPr>
        <w:t>.</w:t>
      </w:r>
    </w:p>
    <w:p w14:paraId="282F2E72" w14:textId="77777777" w:rsidR="003C6195" w:rsidRPr="003C6195" w:rsidRDefault="003C6195" w:rsidP="00A473BF">
      <w:pPr>
        <w:rPr>
          <w:lang w:val="en-US"/>
        </w:rPr>
      </w:pPr>
    </w:p>
    <w:p w14:paraId="05692F8F" w14:textId="63A5A5BD" w:rsidR="00785F47" w:rsidRDefault="002760AD" w:rsidP="00785F47">
      <w:pPr>
        <w:jc w:val="center"/>
        <w:rPr>
          <w:lang w:val="en-US"/>
        </w:rPr>
      </w:pPr>
      <w:r>
        <w:rPr>
          <w:noProof/>
          <w:lang w:val="en-US"/>
        </w:rPr>
        <w:lastRenderedPageBreak/>
        <w:drawing>
          <wp:inline distT="0" distB="0" distL="0" distR="0" wp14:anchorId="71F9CB66" wp14:editId="670C7306">
            <wp:extent cx="5175885" cy="3609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5885" cy="3609340"/>
                    </a:xfrm>
                    <a:prstGeom prst="rect">
                      <a:avLst/>
                    </a:prstGeom>
                    <a:noFill/>
                  </pic:spPr>
                </pic:pic>
              </a:graphicData>
            </a:graphic>
          </wp:inline>
        </w:drawing>
      </w:r>
    </w:p>
    <w:p w14:paraId="2F523686" w14:textId="4E75C950" w:rsidR="00785F47" w:rsidRDefault="00785F47" w:rsidP="00785F47">
      <w:pPr>
        <w:jc w:val="center"/>
        <w:rPr>
          <w:b/>
          <w:bCs/>
          <w:lang w:val="en-US"/>
        </w:rPr>
      </w:pPr>
      <w:r w:rsidRPr="0091099F">
        <w:rPr>
          <w:b/>
          <w:bCs/>
          <w:lang w:val="en-US"/>
        </w:rPr>
        <w:t xml:space="preserve">Fig.1 </w:t>
      </w:r>
      <w:r w:rsidR="00332F52">
        <w:rPr>
          <w:b/>
          <w:bCs/>
          <w:lang w:val="en-US"/>
        </w:rPr>
        <w:t>A d</w:t>
      </w:r>
      <w:r w:rsidRPr="0091099F">
        <w:rPr>
          <w:b/>
          <w:bCs/>
          <w:lang w:val="en-US"/>
        </w:rPr>
        <w:t>iagram of QCL chain for sDCI-based mTRP</w:t>
      </w:r>
    </w:p>
    <w:p w14:paraId="000287A7" w14:textId="7DB1512D" w:rsidR="00785F47" w:rsidRPr="0091099F" w:rsidRDefault="008B74AF" w:rsidP="00785F47">
      <w:pPr>
        <w:jc w:val="center"/>
        <w:rPr>
          <w:b/>
          <w:bCs/>
          <w:lang w:val="en-US"/>
        </w:rPr>
      </w:pPr>
      <w:r>
        <w:rPr>
          <w:b/>
          <w:bCs/>
          <w:noProof/>
          <w:lang w:val="en-US"/>
        </w:rPr>
        <w:drawing>
          <wp:inline distT="0" distB="0" distL="0" distR="0" wp14:anchorId="4ABA234C" wp14:editId="6E6A43A0">
            <wp:extent cx="5126990" cy="2901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6990" cy="2901950"/>
                    </a:xfrm>
                    <a:prstGeom prst="rect">
                      <a:avLst/>
                    </a:prstGeom>
                    <a:noFill/>
                  </pic:spPr>
                </pic:pic>
              </a:graphicData>
            </a:graphic>
          </wp:inline>
        </w:drawing>
      </w:r>
    </w:p>
    <w:p w14:paraId="7C1AC464" w14:textId="113D9360" w:rsidR="00785F47" w:rsidRDefault="00785F47" w:rsidP="00785F47">
      <w:pPr>
        <w:jc w:val="center"/>
        <w:rPr>
          <w:b/>
          <w:bCs/>
          <w:lang w:val="en-US"/>
        </w:rPr>
      </w:pPr>
      <w:r w:rsidRPr="0091099F">
        <w:rPr>
          <w:b/>
          <w:bCs/>
          <w:lang w:val="en-US"/>
        </w:rPr>
        <w:t>Fig.</w:t>
      </w:r>
      <w:r>
        <w:rPr>
          <w:b/>
          <w:bCs/>
          <w:lang w:val="en-US"/>
        </w:rPr>
        <w:t>2</w:t>
      </w:r>
      <w:r w:rsidRPr="0091099F">
        <w:rPr>
          <w:b/>
          <w:bCs/>
          <w:lang w:val="en-US"/>
        </w:rPr>
        <w:t xml:space="preserve"> </w:t>
      </w:r>
      <w:r w:rsidR="00332F52">
        <w:rPr>
          <w:b/>
          <w:bCs/>
          <w:lang w:val="en-US"/>
        </w:rPr>
        <w:t>A d</w:t>
      </w:r>
      <w:r w:rsidRPr="0091099F">
        <w:rPr>
          <w:b/>
          <w:bCs/>
          <w:lang w:val="en-US"/>
        </w:rPr>
        <w:t xml:space="preserve">iagram of QCL chain for </w:t>
      </w:r>
      <w:r>
        <w:rPr>
          <w:b/>
          <w:bCs/>
          <w:lang w:val="en-US"/>
        </w:rPr>
        <w:t>m</w:t>
      </w:r>
      <w:r w:rsidRPr="0091099F">
        <w:rPr>
          <w:b/>
          <w:bCs/>
          <w:lang w:val="en-US"/>
        </w:rPr>
        <w:t>DCI-based mTRP</w:t>
      </w:r>
    </w:p>
    <w:p w14:paraId="7CA5F306" w14:textId="77777777" w:rsidR="00785F47" w:rsidRDefault="00785F47" w:rsidP="00A473BF">
      <w:pPr>
        <w:rPr>
          <w:lang w:val="en-US"/>
        </w:rPr>
      </w:pPr>
    </w:p>
    <w:p w14:paraId="787EF87A" w14:textId="77777777" w:rsidR="00785F47" w:rsidRDefault="00785F47" w:rsidP="00A473BF">
      <w:pPr>
        <w:rPr>
          <w:lang w:val="en-US"/>
        </w:rPr>
      </w:pPr>
    </w:p>
    <w:p w14:paraId="23A34C2D" w14:textId="79E18B5C" w:rsidR="00A560CE" w:rsidRPr="00CE1C76" w:rsidRDefault="00CE1C76" w:rsidP="00A473BF">
      <w:pPr>
        <w:rPr>
          <w:rFonts w:eastAsia="Malgun Gothic"/>
          <w:b/>
          <w:bCs/>
          <w:u w:val="single"/>
          <w:lang w:eastAsia="ko-KR"/>
        </w:rPr>
      </w:pPr>
      <w:r w:rsidRPr="00CE1C76">
        <w:rPr>
          <w:rFonts w:eastAsia="Malgun Gothic"/>
          <w:b/>
          <w:bCs/>
          <w:u w:val="single"/>
          <w:lang w:eastAsia="ko-KR"/>
        </w:rPr>
        <w:t>Single vs. Dual TCI State Switch</w:t>
      </w:r>
    </w:p>
    <w:p w14:paraId="5CAC5403" w14:textId="419964FE" w:rsidR="00CE1C76" w:rsidRPr="00333860" w:rsidRDefault="00777B7B" w:rsidP="00A473BF">
      <w:pPr>
        <w:rPr>
          <w:rFonts w:eastAsia="Malgun Gothic"/>
          <w:lang w:val="en-US" w:eastAsia="ko-KR"/>
        </w:rPr>
      </w:pPr>
      <w:r>
        <w:rPr>
          <w:rFonts w:eastAsia="Malgun Gothic"/>
          <w:lang w:eastAsia="ko-KR"/>
        </w:rPr>
        <w:t xml:space="preserve">As the existing TCI state swich delay requirements </w:t>
      </w:r>
      <w:r w:rsidR="009D2EE0">
        <w:rPr>
          <w:rFonts w:eastAsia="Malgun Gothic"/>
          <w:lang w:eastAsia="ko-KR"/>
        </w:rPr>
        <w:t xml:space="preserve">are </w:t>
      </w:r>
      <w:r w:rsidR="0090621E">
        <w:rPr>
          <w:rFonts w:eastAsia="Malgun Gothic"/>
          <w:lang w:eastAsia="ko-KR"/>
        </w:rPr>
        <w:t xml:space="preserve">not dependent on </w:t>
      </w:r>
      <w:r>
        <w:rPr>
          <w:rFonts w:eastAsia="Malgun Gothic"/>
          <w:lang w:eastAsia="ko-KR"/>
        </w:rPr>
        <w:t xml:space="preserve">the number of </w:t>
      </w:r>
      <w:r w:rsidR="00C3300B">
        <w:rPr>
          <w:rFonts w:eastAsia="Malgun Gothic"/>
          <w:lang w:eastAsia="ko-KR"/>
        </w:rPr>
        <w:t xml:space="preserve">the current </w:t>
      </w:r>
      <w:r>
        <w:rPr>
          <w:rFonts w:eastAsia="Malgun Gothic"/>
          <w:lang w:eastAsia="ko-KR"/>
        </w:rPr>
        <w:t>activate TCI states</w:t>
      </w:r>
      <w:r w:rsidR="00C3300B">
        <w:rPr>
          <w:rFonts w:eastAsia="Malgun Gothic"/>
          <w:lang w:eastAsia="ko-KR"/>
        </w:rPr>
        <w:t xml:space="preserve">, we do not need to </w:t>
      </w:r>
      <w:r w:rsidR="00333860">
        <w:rPr>
          <w:rFonts w:eastAsia="Malgun Gothic"/>
          <w:lang w:eastAsia="ko-KR"/>
        </w:rPr>
        <w:t xml:space="preserve">differentiate the TCI state switching requirements depending on the number of the current activate TCI states. Therefore, the only new TCI state switching requirement to be defined is for the case </w:t>
      </w:r>
      <w:r w:rsidR="00333860" w:rsidRPr="00333860">
        <w:rPr>
          <w:rFonts w:eastAsia="Malgun Gothic"/>
          <w:lang w:eastAsia="ko-KR"/>
        </w:rPr>
        <w:t>where to-be-activated</w:t>
      </w:r>
      <w:r w:rsidR="00333860">
        <w:rPr>
          <w:rFonts w:eastAsia="Malgun Gothic"/>
          <w:lang w:eastAsia="ko-KR"/>
        </w:rPr>
        <w:t xml:space="preserve"> </w:t>
      </w:r>
      <w:r w:rsidR="00333860" w:rsidRPr="00333860">
        <w:rPr>
          <w:rFonts w:eastAsia="Malgun Gothic"/>
          <w:lang w:eastAsia="ko-KR"/>
        </w:rPr>
        <w:t>TCI state upon the TCI switch command(s) reception includes two different QCL-TypeD sources</w:t>
      </w:r>
      <w:r w:rsidR="00333860">
        <w:rPr>
          <w:rFonts w:eastAsia="Malgun Gothic"/>
          <w:lang w:eastAsia="ko-KR"/>
        </w:rPr>
        <w:t>.</w:t>
      </w:r>
    </w:p>
    <w:p w14:paraId="0E248F57" w14:textId="77777777" w:rsidR="00AC442C" w:rsidRDefault="00AC442C" w:rsidP="00A473BF">
      <w:pPr>
        <w:rPr>
          <w:rFonts w:eastAsia="Malgun Gothic"/>
          <w:lang w:eastAsia="ko-KR"/>
        </w:rPr>
      </w:pPr>
    </w:p>
    <w:p w14:paraId="50137A51" w14:textId="425740C3" w:rsidR="00D734F6" w:rsidRPr="00D734F6" w:rsidRDefault="00D734F6" w:rsidP="00D734F6">
      <w:pPr>
        <w:jc w:val="both"/>
        <w:rPr>
          <w:b/>
          <w:bCs/>
          <w:lang w:val="en-US"/>
        </w:rPr>
      </w:pPr>
      <w:r w:rsidRPr="006B0359">
        <w:rPr>
          <w:b/>
          <w:bCs/>
        </w:rPr>
        <w:t xml:space="preserve">Proposal </w:t>
      </w:r>
      <w:r w:rsidR="00B92007">
        <w:rPr>
          <w:b/>
          <w:bCs/>
        </w:rPr>
        <w:t>2</w:t>
      </w:r>
      <w:r w:rsidRPr="006B0359">
        <w:rPr>
          <w:b/>
          <w:bCs/>
        </w:rPr>
        <w:t xml:space="preserve">: </w:t>
      </w:r>
      <w:r w:rsidRPr="00D734F6">
        <w:rPr>
          <w:b/>
          <w:bCs/>
        </w:rPr>
        <w:t xml:space="preserve">RAN4 to define TCI state switch delay requirements only for the case </w:t>
      </w:r>
      <w:r w:rsidR="001B04FD">
        <w:rPr>
          <w:b/>
          <w:bCs/>
        </w:rPr>
        <w:t xml:space="preserve">where </w:t>
      </w:r>
      <w:r w:rsidRPr="00D734F6">
        <w:rPr>
          <w:b/>
          <w:bCs/>
        </w:rPr>
        <w:t>to-be-activated/switched TCI state upon the TCI switch command(s) reception includes two different QCL-TypeD sources</w:t>
      </w:r>
    </w:p>
    <w:p w14:paraId="465899DC" w14:textId="7D2C7488" w:rsidR="00D734F6" w:rsidRPr="00D41B58" w:rsidRDefault="00D734F6" w:rsidP="00A473BF">
      <w:pPr>
        <w:rPr>
          <w:rFonts w:eastAsia="Malgun Gothic"/>
          <w:lang w:val="en-US" w:eastAsia="ko-KR"/>
        </w:rPr>
      </w:pPr>
    </w:p>
    <w:p w14:paraId="2D7F83F6" w14:textId="3A9D02DE" w:rsidR="00CE1C76" w:rsidRPr="00CE1C76" w:rsidRDefault="00CE1C76" w:rsidP="00A473BF">
      <w:pPr>
        <w:rPr>
          <w:rFonts w:eastAsia="Malgun Gothic"/>
          <w:b/>
          <w:bCs/>
          <w:u w:val="single"/>
          <w:lang w:eastAsia="ko-KR"/>
        </w:rPr>
      </w:pPr>
      <w:r w:rsidRPr="00CE1C76">
        <w:rPr>
          <w:rFonts w:eastAsia="Malgun Gothic"/>
          <w:b/>
          <w:bCs/>
          <w:u w:val="single"/>
          <w:lang w:eastAsia="ko-KR"/>
        </w:rPr>
        <w:t>Sequential vs. Parallel TCI State Switch</w:t>
      </w:r>
    </w:p>
    <w:p w14:paraId="75F266A2" w14:textId="2127BF20" w:rsidR="00CE1C76" w:rsidRDefault="00A67CBD" w:rsidP="00A473BF">
      <w:pPr>
        <w:rPr>
          <w:rFonts w:eastAsia="Malgun Gothic"/>
          <w:lang w:eastAsia="ko-KR"/>
        </w:rPr>
      </w:pPr>
      <w:r>
        <w:rPr>
          <w:rFonts w:eastAsia="Malgun Gothic"/>
          <w:lang w:eastAsia="ko-KR"/>
        </w:rPr>
        <w:t>There were discussions about “single MAC CE”-based and “two MAC CE”-based TCI state switch requirements</w:t>
      </w:r>
      <w:r w:rsidR="00FF5A4D">
        <w:rPr>
          <w:rFonts w:eastAsia="Malgun Gothic"/>
          <w:lang w:eastAsia="ko-KR"/>
        </w:rPr>
        <w:t xml:space="preserve"> for </w:t>
      </w:r>
      <w:r w:rsidR="005C560E">
        <w:rPr>
          <w:rFonts w:eastAsia="Malgun Gothic"/>
          <w:lang w:eastAsia="ko-KR"/>
        </w:rPr>
        <w:t>“SFN PDCCH” and “non-SFN PDCCH</w:t>
      </w:r>
      <w:r w:rsidR="003D6CC7">
        <w:rPr>
          <w:rFonts w:eastAsia="Malgun Gothic"/>
          <w:lang w:eastAsia="ko-KR"/>
        </w:rPr>
        <w:t xml:space="preserve">,” respectively. </w:t>
      </w:r>
      <w:r w:rsidR="000B650F">
        <w:rPr>
          <w:rFonts w:eastAsia="Malgun Gothic"/>
          <w:lang w:eastAsia="ko-KR"/>
        </w:rPr>
        <w:t xml:space="preserve">Before the discussion about whether/how to define UE requirements, we should understand the use case </w:t>
      </w:r>
      <w:r w:rsidR="00737DAD">
        <w:rPr>
          <w:rFonts w:eastAsia="Malgun Gothic"/>
          <w:lang w:eastAsia="ko-KR"/>
        </w:rPr>
        <w:t xml:space="preserve">and restrictions </w:t>
      </w:r>
      <w:r w:rsidR="000B650F">
        <w:rPr>
          <w:rFonts w:eastAsia="Malgun Gothic"/>
          <w:lang w:eastAsia="ko-KR"/>
        </w:rPr>
        <w:t>of the features – SFN vs. non-SFN PDCCH.</w:t>
      </w:r>
    </w:p>
    <w:p w14:paraId="2F8830BE" w14:textId="13A1BEE9" w:rsidR="000B650F" w:rsidRDefault="000B650F" w:rsidP="000B650F">
      <w:pPr>
        <w:pStyle w:val="ListParagraph"/>
        <w:numPr>
          <w:ilvl w:val="0"/>
          <w:numId w:val="44"/>
        </w:numPr>
        <w:rPr>
          <w:rFonts w:eastAsia="Malgun Gothic"/>
          <w:lang w:eastAsia="ko-KR"/>
        </w:rPr>
      </w:pPr>
      <w:r>
        <w:rPr>
          <w:rFonts w:eastAsia="Malgun Gothic"/>
          <w:lang w:eastAsia="ko-KR"/>
        </w:rPr>
        <w:t>SFN PDCCH</w:t>
      </w:r>
    </w:p>
    <w:p w14:paraId="3F25A7F1" w14:textId="4C23B2D7" w:rsidR="000B650F" w:rsidRDefault="00737DAD" w:rsidP="000B650F">
      <w:pPr>
        <w:pStyle w:val="ListParagraph"/>
        <w:numPr>
          <w:ilvl w:val="1"/>
          <w:numId w:val="44"/>
        </w:numPr>
        <w:rPr>
          <w:rFonts w:eastAsia="Malgun Gothic"/>
          <w:lang w:eastAsia="ko-KR"/>
        </w:rPr>
      </w:pPr>
      <w:r>
        <w:rPr>
          <w:rFonts w:eastAsia="Malgun Gothic"/>
          <w:lang w:eastAsia="ko-KR"/>
        </w:rPr>
        <w:t>The feature is defined for HST and URLLC</w:t>
      </w:r>
      <w:r w:rsidR="005D5AB9">
        <w:rPr>
          <w:rFonts w:eastAsia="Malgun Gothic"/>
          <w:lang w:eastAsia="ko-KR"/>
        </w:rPr>
        <w:t xml:space="preserve"> (beam diversity)</w:t>
      </w:r>
    </w:p>
    <w:p w14:paraId="1090C577" w14:textId="2E8D479D" w:rsidR="00405027" w:rsidRDefault="005400D6" w:rsidP="000B650F">
      <w:pPr>
        <w:pStyle w:val="ListParagraph"/>
        <w:numPr>
          <w:ilvl w:val="1"/>
          <w:numId w:val="44"/>
        </w:numPr>
        <w:rPr>
          <w:rFonts w:eastAsia="Malgun Gothic"/>
          <w:lang w:eastAsia="ko-KR"/>
        </w:rPr>
      </w:pPr>
      <w:r w:rsidRPr="005400D6">
        <w:rPr>
          <w:rFonts w:eastAsia="Malgun Gothic"/>
          <w:lang w:eastAsia="ko-KR"/>
        </w:rPr>
        <w:t>PDCCH</w:t>
      </w:r>
      <w:r>
        <w:rPr>
          <w:rFonts w:eastAsia="Malgun Gothic"/>
          <w:lang w:eastAsia="ko-KR"/>
        </w:rPr>
        <w:t>s with the same payload</w:t>
      </w:r>
      <w:r w:rsidRPr="005400D6">
        <w:rPr>
          <w:rFonts w:eastAsia="Malgun Gothic"/>
          <w:lang w:eastAsia="ko-KR"/>
        </w:rPr>
        <w:t xml:space="preserve"> </w:t>
      </w:r>
      <w:r>
        <w:rPr>
          <w:rFonts w:eastAsia="Malgun Gothic"/>
          <w:lang w:eastAsia="ko-KR"/>
        </w:rPr>
        <w:t xml:space="preserve">can </w:t>
      </w:r>
      <w:r w:rsidRPr="005400D6">
        <w:rPr>
          <w:rFonts w:eastAsia="Malgun Gothic"/>
          <w:lang w:eastAsia="ko-KR"/>
        </w:rPr>
        <w:t xml:space="preserve">be transmitted from two different TRPs in the same </w:t>
      </w:r>
      <w:r>
        <w:rPr>
          <w:rFonts w:eastAsia="Malgun Gothic"/>
          <w:lang w:eastAsia="ko-KR"/>
        </w:rPr>
        <w:t>time/frequency</w:t>
      </w:r>
      <w:r w:rsidRPr="005400D6">
        <w:rPr>
          <w:rFonts w:eastAsia="Malgun Gothic"/>
          <w:lang w:eastAsia="ko-KR"/>
        </w:rPr>
        <w:t xml:space="preserve"> resource at the same </w:t>
      </w:r>
      <w:r>
        <w:rPr>
          <w:rFonts w:eastAsia="Malgun Gothic"/>
          <w:lang w:eastAsia="ko-KR"/>
        </w:rPr>
        <w:t>aggregation level</w:t>
      </w:r>
      <w:r w:rsidR="0017369A">
        <w:rPr>
          <w:rFonts w:eastAsia="Malgun Gothic"/>
          <w:lang w:eastAsia="ko-KR"/>
        </w:rPr>
        <w:t xml:space="preserve"> (same CORESET and search space</w:t>
      </w:r>
      <w:r w:rsidR="00CD6899">
        <w:rPr>
          <w:rFonts w:eastAsia="Malgun Gothic"/>
          <w:lang w:eastAsia="ko-KR"/>
        </w:rPr>
        <w:t xml:space="preserve"> but with two different </w:t>
      </w:r>
      <w:r w:rsidR="00773812">
        <w:rPr>
          <w:rFonts w:eastAsia="Malgun Gothic"/>
          <w:lang w:eastAsia="ko-KR"/>
        </w:rPr>
        <w:t xml:space="preserve">Tx </w:t>
      </w:r>
      <w:r w:rsidR="00CD6899">
        <w:rPr>
          <w:rFonts w:eastAsia="Malgun Gothic"/>
          <w:lang w:eastAsia="ko-KR"/>
        </w:rPr>
        <w:t>beams</w:t>
      </w:r>
      <w:r w:rsidR="008F323F">
        <w:rPr>
          <w:rFonts w:eastAsia="Malgun Gothic"/>
          <w:lang w:eastAsia="ko-KR"/>
        </w:rPr>
        <w:t>, i.e. CORESET is activated with two TCI states</w:t>
      </w:r>
      <w:r w:rsidR="0017369A">
        <w:rPr>
          <w:rFonts w:eastAsia="Malgun Gothic"/>
          <w:lang w:eastAsia="ko-KR"/>
        </w:rPr>
        <w:t>)</w:t>
      </w:r>
    </w:p>
    <w:p w14:paraId="1D03949A" w14:textId="57DCC94F" w:rsidR="00737DAD" w:rsidRDefault="00737DAD" w:rsidP="000B650F">
      <w:pPr>
        <w:pStyle w:val="ListParagraph"/>
        <w:numPr>
          <w:ilvl w:val="1"/>
          <w:numId w:val="44"/>
        </w:numPr>
        <w:rPr>
          <w:rFonts w:eastAsia="Malgun Gothic"/>
          <w:lang w:eastAsia="ko-KR"/>
        </w:rPr>
      </w:pPr>
      <w:r>
        <w:rPr>
          <w:rFonts w:eastAsia="Malgun Gothic"/>
          <w:lang w:eastAsia="ko-KR"/>
        </w:rPr>
        <w:t>Not schedule SDM’ed PDSCH</w:t>
      </w:r>
      <w:r w:rsidR="002E3FCE">
        <w:rPr>
          <w:rFonts w:eastAsia="Malgun Gothic"/>
          <w:lang w:eastAsia="ko-KR"/>
        </w:rPr>
        <w:t xml:space="preserve"> (not relevant to 4</w:t>
      </w:r>
      <w:r w:rsidR="00405027">
        <w:rPr>
          <w:rFonts w:eastAsia="Malgun Gothic"/>
          <w:lang w:eastAsia="ko-KR"/>
        </w:rPr>
        <w:t>-</w:t>
      </w:r>
      <w:r w:rsidR="002E3FCE">
        <w:rPr>
          <w:rFonts w:eastAsia="Malgun Gothic"/>
          <w:lang w:eastAsia="ko-KR"/>
        </w:rPr>
        <w:t>layer MIMO)</w:t>
      </w:r>
    </w:p>
    <w:p w14:paraId="3C1B2F2A" w14:textId="5877B51A" w:rsidR="002613B0" w:rsidRDefault="002613B0" w:rsidP="000B650F">
      <w:pPr>
        <w:pStyle w:val="ListParagraph"/>
        <w:numPr>
          <w:ilvl w:val="1"/>
          <w:numId w:val="44"/>
        </w:numPr>
        <w:rPr>
          <w:rFonts w:eastAsia="Malgun Gothic"/>
          <w:lang w:eastAsia="ko-KR"/>
        </w:rPr>
      </w:pPr>
      <w:r>
        <w:rPr>
          <w:rFonts w:eastAsia="Malgun Gothic"/>
          <w:lang w:eastAsia="ko-KR"/>
        </w:rPr>
        <w:t>Single MAC CE can activate two TCI states</w:t>
      </w:r>
    </w:p>
    <w:p w14:paraId="6ED29AED" w14:textId="1F11AFEA" w:rsidR="000B650F" w:rsidRDefault="000B650F" w:rsidP="000B650F">
      <w:pPr>
        <w:pStyle w:val="ListParagraph"/>
        <w:numPr>
          <w:ilvl w:val="0"/>
          <w:numId w:val="44"/>
        </w:numPr>
        <w:rPr>
          <w:rFonts w:eastAsia="Malgun Gothic"/>
          <w:lang w:eastAsia="ko-KR"/>
        </w:rPr>
      </w:pPr>
      <w:r>
        <w:rPr>
          <w:rFonts w:eastAsia="Malgun Gothic"/>
          <w:lang w:eastAsia="ko-KR"/>
        </w:rPr>
        <w:t>Non-SFN PDCCH (</w:t>
      </w:r>
      <w:r w:rsidRPr="003D6CC7">
        <w:rPr>
          <w:rFonts w:eastAsia="Malgun Gothic"/>
          <w:lang w:eastAsia="ko-KR"/>
        </w:rPr>
        <w:t>which shall be called PDCCH repetition according to RAN1 spec and UE capability</w:t>
      </w:r>
      <w:r>
        <w:rPr>
          <w:rFonts w:eastAsia="Malgun Gothic"/>
          <w:lang w:eastAsia="ko-KR"/>
        </w:rPr>
        <w:t>)</w:t>
      </w:r>
    </w:p>
    <w:p w14:paraId="04965D1B" w14:textId="3DC425B7" w:rsidR="002613B0" w:rsidRDefault="002613B0" w:rsidP="002613B0">
      <w:pPr>
        <w:pStyle w:val="ListParagraph"/>
        <w:numPr>
          <w:ilvl w:val="1"/>
          <w:numId w:val="44"/>
        </w:numPr>
        <w:rPr>
          <w:rFonts w:eastAsia="Malgun Gothic"/>
          <w:lang w:eastAsia="ko-KR"/>
        </w:rPr>
      </w:pPr>
      <w:r>
        <w:rPr>
          <w:rFonts w:eastAsia="Malgun Gothic"/>
          <w:lang w:eastAsia="ko-KR"/>
        </w:rPr>
        <w:t>The feature is defined for URLLC</w:t>
      </w:r>
      <w:r w:rsidR="00B33CDB">
        <w:rPr>
          <w:rFonts w:eastAsia="Malgun Gothic"/>
          <w:lang w:eastAsia="ko-KR"/>
        </w:rPr>
        <w:t xml:space="preserve"> (beam diversity)</w:t>
      </w:r>
    </w:p>
    <w:p w14:paraId="4EB21BDB" w14:textId="244BD9E8" w:rsidR="002613B0" w:rsidRDefault="00E95077" w:rsidP="002613B0">
      <w:pPr>
        <w:pStyle w:val="ListParagraph"/>
        <w:numPr>
          <w:ilvl w:val="1"/>
          <w:numId w:val="44"/>
        </w:numPr>
        <w:rPr>
          <w:rFonts w:eastAsia="Malgun Gothic"/>
          <w:lang w:eastAsia="ko-KR"/>
        </w:rPr>
      </w:pPr>
      <w:r>
        <w:rPr>
          <w:rFonts w:eastAsia="Malgun Gothic"/>
          <w:lang w:eastAsia="ko-KR"/>
        </w:rPr>
        <w:t>The idea is “linking” two different search space sets that can be associated with different CORESETs (one CORESET is still activated with one TCI state)</w:t>
      </w:r>
    </w:p>
    <w:p w14:paraId="0CF3584D" w14:textId="1175A27B" w:rsidR="00E95077" w:rsidRDefault="00B33CDB" w:rsidP="002613B0">
      <w:pPr>
        <w:pStyle w:val="ListParagraph"/>
        <w:numPr>
          <w:ilvl w:val="1"/>
          <w:numId w:val="44"/>
        </w:numPr>
        <w:rPr>
          <w:rFonts w:eastAsia="Malgun Gothic"/>
          <w:lang w:eastAsia="ko-KR"/>
        </w:rPr>
      </w:pPr>
      <w:r>
        <w:rPr>
          <w:rFonts w:eastAsia="Malgun Gothic"/>
          <w:lang w:eastAsia="ko-KR"/>
        </w:rPr>
        <w:t xml:space="preserve">Not </w:t>
      </w:r>
      <w:r w:rsidR="005B6AB2">
        <w:rPr>
          <w:rFonts w:eastAsia="Malgun Gothic"/>
          <w:lang w:eastAsia="ko-KR"/>
        </w:rPr>
        <w:t>schedule SMD’ed PDSCH (not relevant to 4-layer MIMO)</w:t>
      </w:r>
    </w:p>
    <w:p w14:paraId="68E7005A" w14:textId="2A6CFA5D" w:rsidR="00310D95" w:rsidRPr="000B650F" w:rsidRDefault="00DB7C19" w:rsidP="002613B0">
      <w:pPr>
        <w:pStyle w:val="ListParagraph"/>
        <w:numPr>
          <w:ilvl w:val="1"/>
          <w:numId w:val="44"/>
        </w:numPr>
        <w:rPr>
          <w:rFonts w:eastAsia="Malgun Gothic"/>
          <w:lang w:eastAsia="ko-KR"/>
        </w:rPr>
      </w:pPr>
      <w:r>
        <w:rPr>
          <w:rFonts w:eastAsia="Malgun Gothic"/>
          <w:lang w:eastAsia="ko-KR"/>
        </w:rPr>
        <w:t xml:space="preserve">Two </w:t>
      </w:r>
      <w:r w:rsidR="00310D95">
        <w:rPr>
          <w:rFonts w:eastAsia="Malgun Gothic"/>
          <w:lang w:eastAsia="ko-KR"/>
        </w:rPr>
        <w:t>TCI state</w:t>
      </w:r>
      <w:r>
        <w:rPr>
          <w:rFonts w:eastAsia="Malgun Gothic"/>
          <w:lang w:eastAsia="ko-KR"/>
        </w:rPr>
        <w:t>s are activated separate MAC CE</w:t>
      </w:r>
      <w:r w:rsidR="00E55B63">
        <w:rPr>
          <w:rFonts w:eastAsia="Malgun Gothic"/>
          <w:lang w:eastAsia="ko-KR"/>
        </w:rPr>
        <w:t>s</w:t>
      </w:r>
    </w:p>
    <w:p w14:paraId="6410046F" w14:textId="7BB08240" w:rsidR="000B650F" w:rsidRDefault="000B650F" w:rsidP="00A473BF">
      <w:pPr>
        <w:rPr>
          <w:rFonts w:eastAsia="Malgun Gothic"/>
          <w:lang w:eastAsia="ko-KR"/>
        </w:rPr>
      </w:pPr>
    </w:p>
    <w:p w14:paraId="141ED6E2" w14:textId="0F41F1E7" w:rsidR="00001EE9" w:rsidRDefault="0001006D" w:rsidP="0001006D">
      <w:pPr>
        <w:rPr>
          <w:rFonts w:eastAsia="Malgun Gothic"/>
          <w:lang w:eastAsia="ko-KR"/>
        </w:rPr>
      </w:pPr>
      <w:r>
        <w:rPr>
          <w:rFonts w:eastAsia="Malgun Gothic"/>
          <w:lang w:eastAsia="ko-KR"/>
        </w:rPr>
        <w:t xml:space="preserve">As can be seen from the </w:t>
      </w:r>
      <w:r w:rsidR="00001EE9">
        <w:rPr>
          <w:rFonts w:eastAsia="Malgun Gothic"/>
          <w:lang w:eastAsia="ko-KR"/>
        </w:rPr>
        <w:t xml:space="preserve">above summary, </w:t>
      </w:r>
      <w:r w:rsidRPr="000B650F">
        <w:rPr>
          <w:rFonts w:eastAsia="Malgun Gothic"/>
          <w:lang w:eastAsia="ko-KR"/>
        </w:rPr>
        <w:t xml:space="preserve">both </w:t>
      </w:r>
      <w:r w:rsidR="00001EE9">
        <w:rPr>
          <w:rFonts w:eastAsia="Malgun Gothic"/>
          <w:lang w:eastAsia="ko-KR"/>
        </w:rPr>
        <w:t xml:space="preserve">“SFN PDCCH” and “non-SFN PDCCH” are </w:t>
      </w:r>
      <w:r w:rsidRPr="000B650F">
        <w:rPr>
          <w:rFonts w:eastAsia="Malgun Gothic"/>
          <w:lang w:eastAsia="ko-KR"/>
        </w:rPr>
        <w:t>not really relevant to this WI which eventually aims at 4</w:t>
      </w:r>
      <w:r w:rsidR="00001EE9">
        <w:rPr>
          <w:rFonts w:eastAsia="Malgun Gothic"/>
          <w:lang w:eastAsia="ko-KR"/>
        </w:rPr>
        <w:t>-layer</w:t>
      </w:r>
      <w:r w:rsidRPr="000B650F">
        <w:rPr>
          <w:rFonts w:eastAsia="Malgun Gothic"/>
          <w:lang w:eastAsia="ko-KR"/>
        </w:rPr>
        <w:t xml:space="preserve"> MIMO</w:t>
      </w:r>
      <w:r w:rsidR="00001EE9">
        <w:rPr>
          <w:rFonts w:eastAsia="Malgun Gothic"/>
          <w:lang w:eastAsia="ko-KR"/>
        </w:rPr>
        <w:t>. On the other hand,</w:t>
      </w:r>
      <w:r w:rsidRPr="000B650F">
        <w:rPr>
          <w:rFonts w:eastAsia="Malgun Gothic"/>
          <w:lang w:eastAsia="ko-KR"/>
        </w:rPr>
        <w:t xml:space="preserve"> one can say RRM requirements do not have to be limited to 4</w:t>
      </w:r>
      <w:r w:rsidR="00001EE9">
        <w:rPr>
          <w:rFonts w:eastAsia="Malgun Gothic"/>
          <w:lang w:eastAsia="ko-KR"/>
        </w:rPr>
        <w:t>-layer</w:t>
      </w:r>
      <w:r w:rsidRPr="000B650F">
        <w:rPr>
          <w:rFonts w:eastAsia="Malgun Gothic"/>
          <w:lang w:eastAsia="ko-KR"/>
        </w:rPr>
        <w:t xml:space="preserve"> MIMO. </w:t>
      </w:r>
      <w:r w:rsidR="00DB1BC4">
        <w:rPr>
          <w:rFonts w:eastAsia="Malgun Gothic"/>
          <w:lang w:eastAsia="ko-KR"/>
        </w:rPr>
        <w:t>In any</w:t>
      </w:r>
      <w:r w:rsidR="00EE33E5">
        <w:rPr>
          <w:rFonts w:eastAsia="Malgun Gothic"/>
          <w:lang w:eastAsia="ko-KR"/>
        </w:rPr>
        <w:t xml:space="preserve"> </w:t>
      </w:r>
      <w:r w:rsidR="00DB1BC4">
        <w:rPr>
          <w:rFonts w:eastAsia="Malgun Gothic"/>
          <w:lang w:eastAsia="ko-KR"/>
        </w:rPr>
        <w:t xml:space="preserve">case, </w:t>
      </w:r>
      <w:r w:rsidR="00EE33E5">
        <w:rPr>
          <w:rFonts w:eastAsia="Malgun Gothic"/>
          <w:lang w:eastAsia="ko-KR"/>
        </w:rPr>
        <w:t xml:space="preserve">to us, </w:t>
      </w:r>
      <w:r w:rsidR="0047546A">
        <w:rPr>
          <w:rFonts w:eastAsia="Malgun Gothic"/>
          <w:lang w:eastAsia="ko-KR"/>
        </w:rPr>
        <w:t xml:space="preserve">the discussion can be </w:t>
      </w:r>
      <w:r w:rsidR="009D69D1">
        <w:rPr>
          <w:rFonts w:eastAsia="Malgun Gothic"/>
          <w:lang w:eastAsia="ko-KR"/>
        </w:rPr>
        <w:t xml:space="preserve">reformulated </w:t>
      </w:r>
      <w:r w:rsidR="0047546A">
        <w:rPr>
          <w:rFonts w:eastAsia="Malgun Gothic"/>
          <w:lang w:eastAsia="ko-KR"/>
        </w:rPr>
        <w:t xml:space="preserve">in such a way that </w:t>
      </w:r>
      <w:r w:rsidR="001156E7">
        <w:rPr>
          <w:rFonts w:eastAsia="Malgun Gothic"/>
          <w:lang w:eastAsia="ko-KR"/>
        </w:rPr>
        <w:t xml:space="preserve">the requirements </w:t>
      </w:r>
      <w:r w:rsidR="00EE33E5">
        <w:rPr>
          <w:rFonts w:eastAsia="Malgun Gothic"/>
          <w:lang w:eastAsia="ko-KR"/>
        </w:rPr>
        <w:t>should be “sequential</w:t>
      </w:r>
      <w:r w:rsidR="00B43166">
        <w:rPr>
          <w:rFonts w:eastAsia="Malgun Gothic"/>
          <w:lang w:eastAsia="ko-KR"/>
        </w:rPr>
        <w:t xml:space="preserve"> TCI state switch” vs. “parallel TCI state switch” because it is really a matter of whether TCI state switch commands are received at the same time or not. Note that “two MAC CE</w:t>
      </w:r>
      <w:r w:rsidR="000E08C7">
        <w:rPr>
          <w:rFonts w:eastAsia="Malgun Gothic"/>
          <w:lang w:eastAsia="ko-KR"/>
        </w:rPr>
        <w:t xml:space="preserve"> based two TCI state activation” </w:t>
      </w:r>
      <w:r w:rsidR="000E08C7" w:rsidRPr="000B650F">
        <w:rPr>
          <w:rFonts w:eastAsia="Malgun Gothic"/>
          <w:lang w:eastAsia="ko-KR"/>
        </w:rPr>
        <w:t>does not necessarily mean the two MAC CEs shall be in different PDSCHs in different slots</w:t>
      </w:r>
      <w:r w:rsidR="000E08C7">
        <w:rPr>
          <w:rFonts w:eastAsia="Malgun Gothic"/>
          <w:lang w:eastAsia="ko-KR"/>
        </w:rPr>
        <w:t>.</w:t>
      </w:r>
      <w:r w:rsidR="007E6F64">
        <w:rPr>
          <w:rFonts w:eastAsia="Malgun Gothic"/>
          <w:lang w:eastAsia="ko-KR"/>
        </w:rPr>
        <w:t xml:space="preserve"> In other words, </w:t>
      </w:r>
      <w:r w:rsidR="007E6F64" w:rsidRPr="000B650F">
        <w:rPr>
          <w:rFonts w:eastAsia="Malgun Gothic"/>
          <w:lang w:eastAsia="ko-KR"/>
        </w:rPr>
        <w:t xml:space="preserve">whether </w:t>
      </w:r>
      <w:r w:rsidR="007E6F64">
        <w:rPr>
          <w:rFonts w:eastAsia="Malgun Gothic"/>
          <w:lang w:eastAsia="ko-KR"/>
        </w:rPr>
        <w:t xml:space="preserve">TCI state switch is signalled by </w:t>
      </w:r>
      <w:r w:rsidR="007E6F64" w:rsidRPr="000B650F">
        <w:rPr>
          <w:rFonts w:eastAsia="Malgun Gothic"/>
          <w:lang w:eastAsia="ko-KR"/>
        </w:rPr>
        <w:t xml:space="preserve">one or two MAC </w:t>
      </w:r>
      <w:r w:rsidR="007E6F64">
        <w:rPr>
          <w:rFonts w:eastAsia="Malgun Gothic"/>
          <w:lang w:eastAsia="ko-KR"/>
        </w:rPr>
        <w:t xml:space="preserve">CEs </w:t>
      </w:r>
      <w:r w:rsidR="007E6F64" w:rsidRPr="000B650F">
        <w:rPr>
          <w:rFonts w:eastAsia="Malgun Gothic"/>
          <w:lang w:eastAsia="ko-KR"/>
        </w:rPr>
        <w:t xml:space="preserve">does not matter much in terms of </w:t>
      </w:r>
      <w:r w:rsidR="007E6F64">
        <w:rPr>
          <w:rFonts w:eastAsia="Malgun Gothic"/>
          <w:lang w:eastAsia="ko-KR"/>
        </w:rPr>
        <w:t xml:space="preserve">TCI state switch </w:t>
      </w:r>
      <w:r w:rsidR="007E6F64" w:rsidRPr="000B650F">
        <w:rPr>
          <w:rFonts w:eastAsia="Malgun Gothic"/>
          <w:lang w:eastAsia="ko-KR"/>
        </w:rPr>
        <w:t>delay requirement because the requirement will start from the slot where one or two MACs are received.</w:t>
      </w:r>
      <w:r w:rsidR="00365209">
        <w:rPr>
          <w:rFonts w:eastAsia="Malgun Gothic"/>
          <w:lang w:eastAsia="ko-KR"/>
        </w:rPr>
        <w:t xml:space="preserve"> As to the question of “sequential” vs. “parallel” TCI state switch, “sequential” TCI state switch </w:t>
      </w:r>
      <w:r w:rsidR="00365209" w:rsidRPr="000B650F">
        <w:rPr>
          <w:rFonts w:eastAsia="Malgun Gothic"/>
          <w:lang w:eastAsia="ko-KR"/>
        </w:rPr>
        <w:t xml:space="preserve">is not </w:t>
      </w:r>
      <w:r w:rsidR="00365209">
        <w:rPr>
          <w:rFonts w:eastAsia="Malgun Gothic"/>
          <w:lang w:eastAsia="ko-KR"/>
        </w:rPr>
        <w:t xml:space="preserve">a </w:t>
      </w:r>
      <w:r w:rsidR="00365209" w:rsidRPr="000B650F">
        <w:rPr>
          <w:rFonts w:eastAsia="Malgun Gothic"/>
          <w:lang w:eastAsia="ko-KR"/>
        </w:rPr>
        <w:t xml:space="preserve">new </w:t>
      </w:r>
      <w:r w:rsidR="00365209">
        <w:rPr>
          <w:rFonts w:eastAsia="Malgun Gothic"/>
          <w:lang w:eastAsia="ko-KR"/>
        </w:rPr>
        <w:t xml:space="preserve">case </w:t>
      </w:r>
      <w:r w:rsidR="0099045D">
        <w:rPr>
          <w:rFonts w:eastAsia="Malgun Gothic"/>
          <w:lang w:eastAsia="ko-KR"/>
        </w:rPr>
        <w:t xml:space="preserve">that needs to be addressed </w:t>
      </w:r>
      <w:r w:rsidR="009F55AA">
        <w:rPr>
          <w:rFonts w:eastAsia="Malgun Gothic"/>
          <w:lang w:eastAsia="ko-KR"/>
        </w:rPr>
        <w:t xml:space="preserve">in this WI </w:t>
      </w:r>
      <w:r w:rsidR="00365209" w:rsidRPr="000B650F">
        <w:rPr>
          <w:rFonts w:eastAsia="Malgun Gothic"/>
          <w:lang w:eastAsia="ko-KR"/>
        </w:rPr>
        <w:t xml:space="preserve">because that can even happen in the legacy, e.g. UE can </w:t>
      </w:r>
      <w:r w:rsidR="0099045D">
        <w:rPr>
          <w:rFonts w:eastAsia="Malgun Gothic"/>
          <w:lang w:eastAsia="ko-KR"/>
        </w:rPr>
        <w:t xml:space="preserve">always </w:t>
      </w:r>
      <w:r w:rsidR="00365209" w:rsidRPr="000B650F">
        <w:rPr>
          <w:rFonts w:eastAsia="Malgun Gothic"/>
          <w:lang w:eastAsia="ko-KR"/>
        </w:rPr>
        <w:t xml:space="preserve">receive </w:t>
      </w:r>
      <w:r w:rsidR="0099045D">
        <w:rPr>
          <w:rFonts w:eastAsia="Malgun Gothic"/>
          <w:lang w:eastAsia="ko-KR"/>
        </w:rPr>
        <w:t xml:space="preserve">a subsequent </w:t>
      </w:r>
      <w:r w:rsidR="00365209" w:rsidRPr="000B650F">
        <w:rPr>
          <w:rFonts w:eastAsia="Malgun Gothic"/>
          <w:lang w:eastAsia="ko-KR"/>
        </w:rPr>
        <w:t>TCI activation command while another TCI activation upon the previous command is on-going.</w:t>
      </w:r>
      <w:r w:rsidR="00496EB1">
        <w:rPr>
          <w:rFonts w:eastAsia="Malgun Gothic"/>
          <w:lang w:eastAsia="ko-KR"/>
        </w:rPr>
        <w:t xml:space="preserve"> More importantly, </w:t>
      </w:r>
      <w:r w:rsidR="009F55AA">
        <w:rPr>
          <w:rFonts w:eastAsia="Malgun Gothic"/>
          <w:lang w:eastAsia="ko-KR"/>
        </w:rPr>
        <w:t>it is much natural to expect that UE will receive two TCI activation switch commands in the same slot considering the two active TCI states are for simultaneous receptions from two TRPs.</w:t>
      </w:r>
    </w:p>
    <w:p w14:paraId="291EAD97" w14:textId="77777777" w:rsidR="002613B0" w:rsidRDefault="002613B0" w:rsidP="00A473BF">
      <w:pPr>
        <w:rPr>
          <w:rFonts w:eastAsia="Malgun Gothic"/>
          <w:lang w:eastAsia="ko-KR"/>
        </w:rPr>
      </w:pPr>
    </w:p>
    <w:p w14:paraId="47E78B5C" w14:textId="40BEF724" w:rsidR="00D734F6" w:rsidRPr="00D734F6" w:rsidRDefault="00D734F6" w:rsidP="00D734F6">
      <w:pPr>
        <w:jc w:val="both"/>
        <w:rPr>
          <w:b/>
          <w:bCs/>
        </w:rPr>
      </w:pPr>
      <w:r w:rsidRPr="006B0359">
        <w:rPr>
          <w:b/>
          <w:bCs/>
        </w:rPr>
        <w:t xml:space="preserve">Proposal </w:t>
      </w:r>
      <w:r w:rsidR="00B92007">
        <w:rPr>
          <w:b/>
          <w:bCs/>
        </w:rPr>
        <w:t>3</w:t>
      </w:r>
      <w:r w:rsidRPr="006B0359">
        <w:rPr>
          <w:b/>
          <w:bCs/>
        </w:rPr>
        <w:t xml:space="preserve">: </w:t>
      </w:r>
      <w:r w:rsidRPr="00D734F6">
        <w:rPr>
          <w:b/>
          <w:bCs/>
        </w:rPr>
        <w:t xml:space="preserve">RAN4 to not consider dual TCI switch upon the reception of separate TCI switch commands not received </w:t>
      </w:r>
      <w:r w:rsidR="00B775A1">
        <w:rPr>
          <w:b/>
          <w:bCs/>
        </w:rPr>
        <w:t xml:space="preserve">in </w:t>
      </w:r>
      <w:r w:rsidRPr="00D734F6">
        <w:rPr>
          <w:b/>
          <w:bCs/>
        </w:rPr>
        <w:t xml:space="preserve">the same </w:t>
      </w:r>
      <w:r w:rsidR="00B775A1">
        <w:rPr>
          <w:b/>
          <w:bCs/>
        </w:rPr>
        <w:t>slot.</w:t>
      </w:r>
    </w:p>
    <w:p w14:paraId="1B454B3D" w14:textId="77777777" w:rsidR="00785F47" w:rsidRDefault="00785F47" w:rsidP="00785F47">
      <w:pPr>
        <w:rPr>
          <w:lang w:val="en-US"/>
        </w:rPr>
      </w:pPr>
    </w:p>
    <w:p w14:paraId="4C642C24" w14:textId="368B8CF6" w:rsidR="00785F47" w:rsidRDefault="00785F47" w:rsidP="00785F47">
      <w:pPr>
        <w:rPr>
          <w:b/>
          <w:bCs/>
          <w:u w:val="single"/>
          <w:lang w:val="en-US"/>
        </w:rPr>
      </w:pPr>
      <w:r w:rsidRPr="00A560CE">
        <w:rPr>
          <w:b/>
          <w:bCs/>
          <w:u w:val="single"/>
          <w:lang w:val="en-US"/>
        </w:rPr>
        <w:t>Known vs. Unknown TCI State Switch</w:t>
      </w:r>
      <w:r>
        <w:rPr>
          <w:b/>
          <w:bCs/>
          <w:u w:val="single"/>
          <w:lang w:val="en-US"/>
        </w:rPr>
        <w:t xml:space="preserve"> and </w:t>
      </w:r>
      <w:r w:rsidRPr="00CE1C76">
        <w:rPr>
          <w:rFonts w:eastAsia="Malgun Gothic"/>
          <w:b/>
          <w:bCs/>
          <w:u w:val="single"/>
          <w:lang w:val="en-US" w:eastAsia="ko-KR"/>
        </w:rPr>
        <w:t>TCI State Switch Delay</w:t>
      </w:r>
    </w:p>
    <w:p w14:paraId="2DFA362C" w14:textId="1ECA1956" w:rsidR="005376A5" w:rsidRDefault="000E4B90" w:rsidP="00785F47">
      <w:pPr>
        <w:rPr>
          <w:lang w:val="en-US"/>
        </w:rPr>
      </w:pPr>
      <w:r>
        <w:rPr>
          <w:lang w:val="en-US"/>
        </w:rPr>
        <w:t xml:space="preserve">RRC and MAC CE based </w:t>
      </w:r>
      <w:r w:rsidR="005376A5">
        <w:rPr>
          <w:lang w:val="en-US"/>
        </w:rPr>
        <w:t xml:space="preserve">TCI state switch </w:t>
      </w:r>
      <w:r>
        <w:rPr>
          <w:lang w:val="en-US"/>
        </w:rPr>
        <w:t xml:space="preserve">requirements are </w:t>
      </w:r>
      <w:r w:rsidR="00AE2F3D">
        <w:rPr>
          <w:lang w:val="en-US"/>
        </w:rPr>
        <w:t xml:space="preserve">depicted in Figure 3. As can be seen from the figure, whether the switch is signaled by MAC CE or RRC does not have to do with </w:t>
      </w:r>
      <w:r w:rsidR="00345CA0">
        <w:rPr>
          <w:lang w:val="en-US"/>
        </w:rPr>
        <w:t xml:space="preserve">how many reference signals UE requires for time/frequency tracking and UE RX beam refinement. </w:t>
      </w:r>
      <w:r w:rsidR="00D158A6">
        <w:rPr>
          <w:lang w:val="en-US"/>
        </w:rPr>
        <w:t xml:space="preserve">When the requirements are categorized </w:t>
      </w:r>
      <w:r w:rsidR="00914077">
        <w:rPr>
          <w:lang w:val="en-US"/>
        </w:rPr>
        <w:t xml:space="preserve">into two groups, one for known TCI state, and the other for unknown TCI state, we believe the relevant case for TCI state activation for dual Rx based mTRP support is “known TCI state” because it is hard to expect NW to signal the UE to activate two TCI states associated with two TRPs without recent UE measurement report </w:t>
      </w:r>
      <w:r w:rsidR="00B231EA">
        <w:rPr>
          <w:lang w:val="en-US"/>
        </w:rPr>
        <w:t>on the associated reference signals.</w:t>
      </w:r>
    </w:p>
    <w:p w14:paraId="752630BE" w14:textId="77777777" w:rsidR="00B231EA" w:rsidRDefault="00B231EA" w:rsidP="00785F47">
      <w:pPr>
        <w:rPr>
          <w:lang w:val="en-US"/>
        </w:rPr>
      </w:pPr>
    </w:p>
    <w:p w14:paraId="17F37F19" w14:textId="43F51BEA" w:rsidR="00785F47" w:rsidRPr="0091099F" w:rsidRDefault="000F6A7F" w:rsidP="000F6A7F">
      <w:pPr>
        <w:ind w:left="-990"/>
        <w:jc w:val="center"/>
        <w:rPr>
          <w:b/>
          <w:bCs/>
          <w:lang w:val="en-US"/>
        </w:rPr>
      </w:pPr>
      <w:r>
        <w:rPr>
          <w:b/>
          <w:bCs/>
          <w:noProof/>
          <w:lang w:val="en-US"/>
        </w:rPr>
        <w:drawing>
          <wp:inline distT="0" distB="0" distL="0" distR="0" wp14:anchorId="503017DC" wp14:editId="383A5C04">
            <wp:extent cx="7357187" cy="281552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01799" cy="2832596"/>
                    </a:xfrm>
                    <a:prstGeom prst="rect">
                      <a:avLst/>
                    </a:prstGeom>
                    <a:noFill/>
                  </pic:spPr>
                </pic:pic>
              </a:graphicData>
            </a:graphic>
          </wp:inline>
        </w:drawing>
      </w:r>
    </w:p>
    <w:p w14:paraId="735FA0F2" w14:textId="3452438A" w:rsidR="00785F47" w:rsidRDefault="00785F47" w:rsidP="00785F47">
      <w:pPr>
        <w:jc w:val="center"/>
        <w:rPr>
          <w:b/>
          <w:bCs/>
          <w:lang w:val="en-US"/>
        </w:rPr>
      </w:pPr>
      <w:r w:rsidRPr="0091099F">
        <w:rPr>
          <w:b/>
          <w:bCs/>
          <w:lang w:val="en-US"/>
        </w:rPr>
        <w:t>Fig.</w:t>
      </w:r>
      <w:r>
        <w:rPr>
          <w:b/>
          <w:bCs/>
          <w:lang w:val="en-US"/>
        </w:rPr>
        <w:t>3</w:t>
      </w:r>
      <w:r w:rsidRPr="0091099F">
        <w:rPr>
          <w:b/>
          <w:bCs/>
          <w:lang w:val="en-US"/>
        </w:rPr>
        <w:t xml:space="preserve"> </w:t>
      </w:r>
      <w:r w:rsidR="0022491A" w:rsidRPr="0022491A">
        <w:rPr>
          <w:b/>
          <w:bCs/>
        </w:rPr>
        <w:t>MAC-CE and RRC based TCI state switch delay</w:t>
      </w:r>
    </w:p>
    <w:p w14:paraId="5048E7DA" w14:textId="77777777" w:rsidR="00785F47" w:rsidRPr="005376A5" w:rsidRDefault="00785F47" w:rsidP="00785F47">
      <w:pPr>
        <w:rPr>
          <w:rFonts w:eastAsia="Malgun Gothic"/>
          <w:lang w:val="en-US" w:eastAsia="ko-KR"/>
        </w:rPr>
      </w:pPr>
    </w:p>
    <w:p w14:paraId="68AE6079" w14:textId="4F40AEDE" w:rsidR="00785F47" w:rsidRDefault="00785F47" w:rsidP="00785F47">
      <w:pPr>
        <w:jc w:val="both"/>
        <w:rPr>
          <w:b/>
          <w:bCs/>
        </w:rPr>
      </w:pPr>
      <w:r w:rsidRPr="006B0359">
        <w:rPr>
          <w:b/>
          <w:bCs/>
        </w:rPr>
        <w:t xml:space="preserve">Proposal </w:t>
      </w:r>
      <w:r w:rsidR="00B92007">
        <w:rPr>
          <w:b/>
          <w:bCs/>
        </w:rPr>
        <w:t>4</w:t>
      </w:r>
      <w:r w:rsidRPr="006B0359">
        <w:rPr>
          <w:b/>
          <w:bCs/>
        </w:rPr>
        <w:t xml:space="preserve">: </w:t>
      </w:r>
      <w:r w:rsidRPr="009B3202">
        <w:rPr>
          <w:b/>
          <w:bCs/>
        </w:rPr>
        <w:t xml:space="preserve">RAN4 to not define TCI state switch delay requirements for unknown </w:t>
      </w:r>
      <w:r w:rsidR="006F163A">
        <w:rPr>
          <w:b/>
          <w:bCs/>
        </w:rPr>
        <w:t xml:space="preserve">TCI </w:t>
      </w:r>
      <w:r w:rsidRPr="009B3202">
        <w:rPr>
          <w:b/>
          <w:bCs/>
        </w:rPr>
        <w:t>state</w:t>
      </w:r>
    </w:p>
    <w:p w14:paraId="04B7EEFB" w14:textId="4A3AB10A" w:rsidR="00785F47" w:rsidRDefault="00785F47" w:rsidP="00785F47">
      <w:pPr>
        <w:rPr>
          <w:rFonts w:eastAsia="Malgun Gothic"/>
          <w:lang w:eastAsia="ko-KR"/>
        </w:rPr>
      </w:pPr>
    </w:p>
    <w:p w14:paraId="48A69A55" w14:textId="7240BF18" w:rsidR="00B231EA" w:rsidRDefault="00B231EA" w:rsidP="00785F47">
      <w:pPr>
        <w:rPr>
          <w:rFonts w:eastAsia="Malgun Gothic"/>
          <w:lang w:eastAsia="ko-KR"/>
        </w:rPr>
      </w:pPr>
      <w:r>
        <w:rPr>
          <w:rFonts w:eastAsia="Malgun Gothic"/>
          <w:lang w:eastAsia="ko-KR"/>
        </w:rPr>
        <w:t xml:space="preserve">The existing </w:t>
      </w:r>
      <w:r w:rsidR="0005589B">
        <w:rPr>
          <w:rFonts w:eastAsia="Malgun Gothic"/>
          <w:lang w:eastAsia="ko-KR"/>
        </w:rPr>
        <w:t xml:space="preserve">set of conditions for known TCI state is based on </w:t>
      </w:r>
      <w:r w:rsidR="00887590" w:rsidRPr="00887590">
        <w:rPr>
          <w:rFonts w:eastAsia="Malgun Gothic"/>
          <w:lang w:eastAsia="ko-KR"/>
        </w:rPr>
        <w:t>L1-RSRP report</w:t>
      </w:r>
      <w:r w:rsidR="009168F6">
        <w:rPr>
          <w:rFonts w:eastAsia="Malgun Gothic"/>
          <w:lang w:eastAsia="ko-KR"/>
        </w:rPr>
        <w:t xml:space="preserve">, which needs to be replaced with </w:t>
      </w:r>
      <w:r w:rsidR="00887ECF">
        <w:rPr>
          <w:rFonts w:eastAsia="Malgun Gothic"/>
          <w:lang w:eastAsia="ko-KR"/>
        </w:rPr>
        <w:t>R17 group-based L1-RSRP measurement</w:t>
      </w:r>
      <w:r w:rsidR="009D6433">
        <w:rPr>
          <w:rFonts w:eastAsia="Malgun Gothic"/>
          <w:lang w:eastAsia="ko-KR"/>
        </w:rPr>
        <w:t xml:space="preserve"> and report for the support of simultaneous Rx based mTRP operation.</w:t>
      </w:r>
    </w:p>
    <w:p w14:paraId="38EFE0A6" w14:textId="77777777" w:rsidR="009D6433" w:rsidRDefault="009D6433" w:rsidP="00785F47">
      <w:pPr>
        <w:rPr>
          <w:rFonts w:eastAsia="Malgun Gothic"/>
          <w:lang w:eastAsia="ko-KR"/>
        </w:rPr>
      </w:pPr>
    </w:p>
    <w:p w14:paraId="1F57D1AD" w14:textId="03F30E45" w:rsidR="00785F47" w:rsidRPr="00D734F6" w:rsidRDefault="00785F47" w:rsidP="00785F47">
      <w:pPr>
        <w:jc w:val="both"/>
        <w:rPr>
          <w:b/>
          <w:bCs/>
        </w:rPr>
      </w:pPr>
      <w:r w:rsidRPr="006B0359">
        <w:rPr>
          <w:b/>
          <w:bCs/>
        </w:rPr>
        <w:t xml:space="preserve">Proposal </w:t>
      </w:r>
      <w:r w:rsidR="00B92007">
        <w:rPr>
          <w:b/>
          <w:bCs/>
        </w:rPr>
        <w:t>5</w:t>
      </w:r>
      <w:r w:rsidRPr="006B0359">
        <w:rPr>
          <w:b/>
          <w:bCs/>
        </w:rPr>
        <w:t xml:space="preserve">: </w:t>
      </w:r>
      <w:r w:rsidR="00D734F6" w:rsidRPr="00D734F6">
        <w:rPr>
          <w:b/>
          <w:bCs/>
        </w:rPr>
        <w:t>The known condition of dual TCI state switch for mTRP is based on Rel-17 group-based L1-RSRP measurement and report</w:t>
      </w:r>
    </w:p>
    <w:p w14:paraId="467A2A4C" w14:textId="658A0D8E" w:rsidR="00785F47" w:rsidRDefault="00785F47" w:rsidP="00D734F6">
      <w:pPr>
        <w:jc w:val="both"/>
        <w:rPr>
          <w:rFonts w:eastAsia="Malgun Gothic"/>
          <w:lang w:eastAsia="ko-KR"/>
        </w:rPr>
      </w:pPr>
    </w:p>
    <w:p w14:paraId="7C36E4D6" w14:textId="3D995032" w:rsidR="009D6433" w:rsidRDefault="007A71FE" w:rsidP="00D734F6">
      <w:pPr>
        <w:jc w:val="both"/>
        <w:rPr>
          <w:rFonts w:eastAsia="Malgun Gothic"/>
          <w:lang w:eastAsia="ko-KR"/>
        </w:rPr>
      </w:pPr>
      <w:r>
        <w:rPr>
          <w:rFonts w:eastAsia="Malgun Gothic"/>
          <w:lang w:eastAsia="ko-KR"/>
        </w:rPr>
        <w:t>There can be two options (Opt-A and Opt-B in Figure 3) when defining a</w:t>
      </w:r>
      <w:r w:rsidR="00465058">
        <w:rPr>
          <w:rFonts w:eastAsia="Malgun Gothic"/>
          <w:lang w:eastAsia="ko-KR"/>
        </w:rPr>
        <w:t xml:space="preserve"> dual TCI state switching delay. The first option (Opt-A in Figure 3) assumes UE forms two concurrent beams or switches </w:t>
      </w:r>
      <w:r w:rsidR="004D7B9C">
        <w:rPr>
          <w:rFonts w:eastAsia="Malgun Gothic"/>
          <w:lang w:eastAsia="ko-KR"/>
        </w:rPr>
        <w:t xml:space="preserve">Rx beams from one to the other to receive the two reference signals associated with the to-be-switched two TCI states within one SSB burst, whereas the second option (Opt-B in Figure 3) assumes UE switches Rx beams across SSB bursts. </w:t>
      </w:r>
      <w:r w:rsidR="00E760BE">
        <w:rPr>
          <w:rFonts w:eastAsia="Malgun Gothic"/>
          <w:lang w:eastAsia="ko-KR"/>
        </w:rPr>
        <w:t xml:space="preserve">We believe the first option can be feasible for the UE supporting simultaneous Rx based mTRP operation, and the requirement can be defined simply </w:t>
      </w:r>
      <w:r w:rsidR="00D90522">
        <w:rPr>
          <w:rFonts w:eastAsia="Malgun Gothic"/>
          <w:lang w:eastAsia="ko-KR"/>
        </w:rPr>
        <w:t>by re-defining Tfirst-SSB</w:t>
      </w:r>
      <w:r w:rsidR="007723D0">
        <w:rPr>
          <w:rFonts w:eastAsia="Malgun Gothic"/>
          <w:lang w:eastAsia="ko-KR"/>
        </w:rPr>
        <w:t xml:space="preserve"> such that it can accommodate the two TDM’ed source SSBs.</w:t>
      </w:r>
    </w:p>
    <w:p w14:paraId="102D19BB" w14:textId="77777777" w:rsidR="002D5EB9" w:rsidRDefault="002D5EB9" w:rsidP="00D734F6">
      <w:pPr>
        <w:jc w:val="both"/>
        <w:rPr>
          <w:rFonts w:eastAsia="Malgun Gothic"/>
          <w:lang w:eastAsia="ko-KR"/>
        </w:rPr>
      </w:pPr>
    </w:p>
    <w:p w14:paraId="690803C2" w14:textId="5BC65F0E" w:rsidR="00D734F6" w:rsidRPr="00D734F6" w:rsidRDefault="00D734F6" w:rsidP="00D734F6">
      <w:pPr>
        <w:tabs>
          <w:tab w:val="num" w:pos="1440"/>
        </w:tabs>
        <w:jc w:val="both"/>
        <w:rPr>
          <w:b/>
          <w:bCs/>
        </w:rPr>
      </w:pPr>
      <w:r w:rsidRPr="006B0359">
        <w:rPr>
          <w:b/>
          <w:bCs/>
        </w:rPr>
        <w:t xml:space="preserve">Proposal </w:t>
      </w:r>
      <w:r w:rsidR="00B92007">
        <w:rPr>
          <w:b/>
          <w:bCs/>
        </w:rPr>
        <w:t>6</w:t>
      </w:r>
      <w:r w:rsidRPr="006B0359">
        <w:rPr>
          <w:b/>
          <w:bCs/>
        </w:rPr>
        <w:t xml:space="preserve">: </w:t>
      </w:r>
      <w:r w:rsidRPr="00D734F6">
        <w:rPr>
          <w:b/>
          <w:bCs/>
        </w:rPr>
        <w:t>Tfirst-SSB defined for the existing TCI state switch delay requirements can be reused for dual TCI switch in mTRP if the definition of Tfirst-SSB is modified to account for two TDM’ed source SSBs in the QCL chains with two TRPs.</w:t>
      </w:r>
    </w:p>
    <w:p w14:paraId="63B8504B" w14:textId="22D7D97D" w:rsidR="00A21462" w:rsidRPr="0044224C" w:rsidRDefault="00A21462" w:rsidP="009D30D9">
      <w:pPr>
        <w:jc w:val="both"/>
        <w:rPr>
          <w:rFonts w:eastAsia="Malgun Gothic"/>
          <w:lang w:val="en-US" w:eastAsia="ko-KR"/>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2673E35F" w14:textId="77777777" w:rsidR="00FC2B9F" w:rsidRPr="00CE1C76" w:rsidRDefault="00FC2B9F" w:rsidP="00FC2B9F">
      <w:pPr>
        <w:rPr>
          <w:rFonts w:eastAsia="Malgun Gothic"/>
          <w:b/>
          <w:bCs/>
          <w:u w:val="single"/>
          <w:lang w:eastAsia="ko-KR"/>
        </w:rPr>
      </w:pPr>
      <w:r>
        <w:rPr>
          <w:rFonts w:eastAsia="Malgun Gothic"/>
          <w:b/>
          <w:bCs/>
          <w:u w:val="single"/>
          <w:lang w:eastAsia="ko-KR"/>
        </w:rPr>
        <w:t>QCL chain for Simultaneous Rx based FR2 mTRP and DCI based TCI State Switch Delay</w:t>
      </w:r>
    </w:p>
    <w:p w14:paraId="46E66D6E" w14:textId="77777777" w:rsidR="00FC2B9F" w:rsidRPr="00D734F6" w:rsidRDefault="00FC2B9F" w:rsidP="00FC2B9F">
      <w:pPr>
        <w:jc w:val="both"/>
        <w:rPr>
          <w:b/>
          <w:bCs/>
          <w:lang w:val="en-US"/>
        </w:rPr>
      </w:pPr>
      <w:r w:rsidRPr="006B0359">
        <w:rPr>
          <w:b/>
          <w:bCs/>
        </w:rPr>
        <w:t xml:space="preserve">Proposal </w:t>
      </w:r>
      <w:r>
        <w:rPr>
          <w:b/>
          <w:bCs/>
        </w:rPr>
        <w:t>1</w:t>
      </w:r>
      <w:r w:rsidRPr="006B0359">
        <w:rPr>
          <w:b/>
          <w:bCs/>
        </w:rPr>
        <w:t xml:space="preserve">: </w:t>
      </w:r>
      <w:r w:rsidRPr="00D734F6">
        <w:rPr>
          <w:b/>
          <w:bCs/>
        </w:rPr>
        <w:t xml:space="preserve">RAN4 to </w:t>
      </w:r>
      <w:r>
        <w:rPr>
          <w:b/>
          <w:bCs/>
        </w:rPr>
        <w:t xml:space="preserve">reuse the existing requirement of </w:t>
      </w:r>
      <w:r w:rsidRPr="005B4DE8">
        <w:rPr>
          <w:b/>
          <w:bCs/>
        </w:rPr>
        <w:t>DCI based TCI state switch delay</w:t>
      </w:r>
      <w:r>
        <w:rPr>
          <w:b/>
          <w:bCs/>
        </w:rPr>
        <w:t xml:space="preserve"> for </w:t>
      </w:r>
      <w:r w:rsidRPr="005B4DE8">
        <w:rPr>
          <w:b/>
          <w:bCs/>
        </w:rPr>
        <w:t>the feature of simultaneous Rx based mTRP</w:t>
      </w:r>
      <w:r>
        <w:rPr>
          <w:b/>
          <w:bCs/>
        </w:rPr>
        <w:t>.</w:t>
      </w:r>
    </w:p>
    <w:p w14:paraId="1100FE77" w14:textId="77777777" w:rsidR="00FC2B9F" w:rsidRPr="00CE1C76" w:rsidRDefault="00FC2B9F" w:rsidP="00FC2B9F">
      <w:pPr>
        <w:rPr>
          <w:rFonts w:eastAsia="Malgun Gothic"/>
          <w:b/>
          <w:bCs/>
          <w:u w:val="single"/>
          <w:lang w:eastAsia="ko-KR"/>
        </w:rPr>
      </w:pPr>
      <w:r w:rsidRPr="00CE1C76">
        <w:rPr>
          <w:rFonts w:eastAsia="Malgun Gothic"/>
          <w:b/>
          <w:bCs/>
          <w:u w:val="single"/>
          <w:lang w:eastAsia="ko-KR"/>
        </w:rPr>
        <w:t>Single vs. Dual TCI State Switch</w:t>
      </w:r>
    </w:p>
    <w:p w14:paraId="134CD7FC" w14:textId="77777777" w:rsidR="00FC2B9F" w:rsidRPr="00D734F6" w:rsidRDefault="00FC2B9F" w:rsidP="00FC2B9F">
      <w:pPr>
        <w:jc w:val="both"/>
        <w:rPr>
          <w:b/>
          <w:bCs/>
          <w:lang w:val="en-US"/>
        </w:rPr>
      </w:pPr>
      <w:r w:rsidRPr="006B0359">
        <w:rPr>
          <w:b/>
          <w:bCs/>
        </w:rPr>
        <w:t xml:space="preserve">Proposal </w:t>
      </w:r>
      <w:r>
        <w:rPr>
          <w:b/>
          <w:bCs/>
        </w:rPr>
        <w:t>2</w:t>
      </w:r>
      <w:r w:rsidRPr="006B0359">
        <w:rPr>
          <w:b/>
          <w:bCs/>
        </w:rPr>
        <w:t xml:space="preserve">: </w:t>
      </w:r>
      <w:r w:rsidRPr="00D734F6">
        <w:rPr>
          <w:b/>
          <w:bCs/>
        </w:rPr>
        <w:t xml:space="preserve">RAN4 to define TCI state switch delay requirements only for the case </w:t>
      </w:r>
      <w:r>
        <w:rPr>
          <w:b/>
          <w:bCs/>
        </w:rPr>
        <w:t xml:space="preserve">where </w:t>
      </w:r>
      <w:r w:rsidRPr="00D734F6">
        <w:rPr>
          <w:b/>
          <w:bCs/>
        </w:rPr>
        <w:t>to-be-activated/switched TCI state upon the TCI switch command(s) reception includes two different QCL-TypeD sources</w:t>
      </w:r>
    </w:p>
    <w:p w14:paraId="06068823" w14:textId="77777777" w:rsidR="00FC2B9F" w:rsidRPr="00CE1C76" w:rsidRDefault="00FC2B9F" w:rsidP="00FC2B9F">
      <w:pPr>
        <w:rPr>
          <w:rFonts w:eastAsia="Malgun Gothic"/>
          <w:b/>
          <w:bCs/>
          <w:u w:val="single"/>
          <w:lang w:eastAsia="ko-KR"/>
        </w:rPr>
      </w:pPr>
      <w:r w:rsidRPr="00CE1C76">
        <w:rPr>
          <w:rFonts w:eastAsia="Malgun Gothic"/>
          <w:b/>
          <w:bCs/>
          <w:u w:val="single"/>
          <w:lang w:eastAsia="ko-KR"/>
        </w:rPr>
        <w:t>Sequential vs. Parallel TCI State Switch</w:t>
      </w:r>
    </w:p>
    <w:p w14:paraId="43A152EC" w14:textId="77777777" w:rsidR="00FC2B9F" w:rsidRPr="00D734F6" w:rsidRDefault="00FC2B9F" w:rsidP="00FC2B9F">
      <w:pPr>
        <w:jc w:val="both"/>
        <w:rPr>
          <w:b/>
          <w:bCs/>
        </w:rPr>
      </w:pPr>
      <w:r w:rsidRPr="006B0359">
        <w:rPr>
          <w:b/>
          <w:bCs/>
        </w:rPr>
        <w:t xml:space="preserve">Proposal </w:t>
      </w:r>
      <w:r>
        <w:rPr>
          <w:b/>
          <w:bCs/>
        </w:rPr>
        <w:t>3</w:t>
      </w:r>
      <w:r w:rsidRPr="006B0359">
        <w:rPr>
          <w:b/>
          <w:bCs/>
        </w:rPr>
        <w:t xml:space="preserve">: </w:t>
      </w:r>
      <w:r w:rsidRPr="00D734F6">
        <w:rPr>
          <w:b/>
          <w:bCs/>
        </w:rPr>
        <w:t xml:space="preserve">RAN4 to not consider dual TCI switch upon the reception of separate TCI switch commands not received </w:t>
      </w:r>
      <w:r>
        <w:rPr>
          <w:b/>
          <w:bCs/>
        </w:rPr>
        <w:t xml:space="preserve">in </w:t>
      </w:r>
      <w:r w:rsidRPr="00D734F6">
        <w:rPr>
          <w:b/>
          <w:bCs/>
        </w:rPr>
        <w:t xml:space="preserve">the same </w:t>
      </w:r>
      <w:r>
        <w:rPr>
          <w:b/>
          <w:bCs/>
        </w:rPr>
        <w:t>slot.</w:t>
      </w:r>
    </w:p>
    <w:p w14:paraId="05FB6AF5" w14:textId="77777777" w:rsidR="00FC2B9F" w:rsidRDefault="00FC2B9F" w:rsidP="00FC2B9F">
      <w:pPr>
        <w:rPr>
          <w:b/>
          <w:bCs/>
          <w:u w:val="single"/>
          <w:lang w:val="en-US"/>
        </w:rPr>
      </w:pPr>
      <w:r w:rsidRPr="00A560CE">
        <w:rPr>
          <w:b/>
          <w:bCs/>
          <w:u w:val="single"/>
          <w:lang w:val="en-US"/>
        </w:rPr>
        <w:t>Known vs. Unknown TCI State Switch</w:t>
      </w:r>
      <w:r>
        <w:rPr>
          <w:b/>
          <w:bCs/>
          <w:u w:val="single"/>
          <w:lang w:val="en-US"/>
        </w:rPr>
        <w:t xml:space="preserve"> and </w:t>
      </w:r>
      <w:r w:rsidRPr="00CE1C76">
        <w:rPr>
          <w:rFonts w:eastAsia="Malgun Gothic"/>
          <w:b/>
          <w:bCs/>
          <w:u w:val="single"/>
          <w:lang w:val="en-US" w:eastAsia="ko-KR"/>
        </w:rPr>
        <w:t>TCI State Switch Delay</w:t>
      </w:r>
    </w:p>
    <w:p w14:paraId="1942E2E4" w14:textId="77777777" w:rsidR="00FC2B9F" w:rsidRDefault="00FC2B9F" w:rsidP="00FC2B9F">
      <w:pPr>
        <w:jc w:val="both"/>
        <w:rPr>
          <w:b/>
          <w:bCs/>
        </w:rPr>
      </w:pPr>
      <w:r w:rsidRPr="006B0359">
        <w:rPr>
          <w:b/>
          <w:bCs/>
        </w:rPr>
        <w:t xml:space="preserve">Proposal </w:t>
      </w:r>
      <w:r>
        <w:rPr>
          <w:b/>
          <w:bCs/>
        </w:rPr>
        <w:t>4</w:t>
      </w:r>
      <w:r w:rsidRPr="006B0359">
        <w:rPr>
          <w:b/>
          <w:bCs/>
        </w:rPr>
        <w:t xml:space="preserve">: </w:t>
      </w:r>
      <w:r w:rsidRPr="009B3202">
        <w:rPr>
          <w:b/>
          <w:bCs/>
        </w:rPr>
        <w:t xml:space="preserve">RAN4 to not define TCI state switch delay requirements for unknown </w:t>
      </w:r>
      <w:r>
        <w:rPr>
          <w:b/>
          <w:bCs/>
        </w:rPr>
        <w:t xml:space="preserve">TCI </w:t>
      </w:r>
      <w:r w:rsidRPr="009B3202">
        <w:rPr>
          <w:b/>
          <w:bCs/>
        </w:rPr>
        <w:t>state</w:t>
      </w:r>
    </w:p>
    <w:p w14:paraId="36070CE9" w14:textId="77777777" w:rsidR="00FC2B9F" w:rsidRPr="00D734F6" w:rsidRDefault="00FC2B9F" w:rsidP="00FC2B9F">
      <w:pPr>
        <w:jc w:val="both"/>
        <w:rPr>
          <w:b/>
          <w:bCs/>
        </w:rPr>
      </w:pPr>
      <w:r w:rsidRPr="006B0359">
        <w:rPr>
          <w:b/>
          <w:bCs/>
        </w:rPr>
        <w:t xml:space="preserve">Proposal </w:t>
      </w:r>
      <w:r>
        <w:rPr>
          <w:b/>
          <w:bCs/>
        </w:rPr>
        <w:t>5</w:t>
      </w:r>
      <w:r w:rsidRPr="006B0359">
        <w:rPr>
          <w:b/>
          <w:bCs/>
        </w:rPr>
        <w:t xml:space="preserve">: </w:t>
      </w:r>
      <w:r w:rsidRPr="00D734F6">
        <w:rPr>
          <w:b/>
          <w:bCs/>
        </w:rPr>
        <w:t>The known condition of dual TCI state switch for mTRP is based on Rel-17 group-based L1-RSRP measurement and report</w:t>
      </w:r>
    </w:p>
    <w:p w14:paraId="47871671" w14:textId="77777777" w:rsidR="00FC2B9F" w:rsidRPr="00D734F6" w:rsidRDefault="00FC2B9F" w:rsidP="00FC2B9F">
      <w:pPr>
        <w:tabs>
          <w:tab w:val="num" w:pos="1440"/>
        </w:tabs>
        <w:jc w:val="both"/>
        <w:rPr>
          <w:b/>
          <w:bCs/>
        </w:rPr>
      </w:pPr>
      <w:r w:rsidRPr="006B0359">
        <w:rPr>
          <w:b/>
          <w:bCs/>
        </w:rPr>
        <w:t xml:space="preserve">Proposal </w:t>
      </w:r>
      <w:r>
        <w:rPr>
          <w:b/>
          <w:bCs/>
        </w:rPr>
        <w:t>6</w:t>
      </w:r>
      <w:r w:rsidRPr="006B0359">
        <w:rPr>
          <w:b/>
          <w:bCs/>
        </w:rPr>
        <w:t xml:space="preserve">: </w:t>
      </w:r>
      <w:r w:rsidRPr="00D734F6">
        <w:rPr>
          <w:b/>
          <w:bCs/>
        </w:rPr>
        <w:t>Tfirst-SSB defined for the existing TCI state switch delay requirements can be reused for dual TCI switch in mTRP if the definition of Tfirst-SSB is modified to account for two TDM’ed source SSBs in the QCL chains with two TRPs.</w:t>
      </w:r>
    </w:p>
    <w:p w14:paraId="519C132D" w14:textId="4A6F2F3C" w:rsidR="00AB0A46" w:rsidRDefault="00AB0A46" w:rsidP="00AB0A46">
      <w:pPr>
        <w:jc w:val="both"/>
        <w:rPr>
          <w:b/>
          <w:bCs/>
        </w:rPr>
      </w:pPr>
    </w:p>
    <w:p w14:paraId="57200915" w14:textId="77777777" w:rsidR="006267A5" w:rsidRPr="00AB0A46" w:rsidRDefault="006267A5" w:rsidP="00AB0A46">
      <w:pPr>
        <w:rPr>
          <w:lang w:eastAsia="en-GB"/>
        </w:rPr>
      </w:pPr>
    </w:p>
    <w:sectPr w:rsidR="006267A5" w:rsidRPr="00AB0A4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03916"/>
    <w:multiLevelType w:val="hybridMultilevel"/>
    <w:tmpl w:val="87F8A224"/>
    <w:lvl w:ilvl="0" w:tplc="D1367D44">
      <w:start w:val="1"/>
      <w:numFmt w:val="bullet"/>
      <w:lvlText w:val="•"/>
      <w:lvlJc w:val="left"/>
      <w:pPr>
        <w:tabs>
          <w:tab w:val="num" w:pos="720"/>
        </w:tabs>
        <w:ind w:left="720" w:hanging="360"/>
      </w:pPr>
      <w:rPr>
        <w:rFonts w:ascii="Arial" w:hAnsi="Arial" w:hint="default"/>
      </w:rPr>
    </w:lvl>
    <w:lvl w:ilvl="1" w:tplc="0A92CD4C">
      <w:numFmt w:val="bullet"/>
      <w:lvlText w:val="•"/>
      <w:lvlJc w:val="left"/>
      <w:pPr>
        <w:tabs>
          <w:tab w:val="num" w:pos="1440"/>
        </w:tabs>
        <w:ind w:left="1440" w:hanging="360"/>
      </w:pPr>
      <w:rPr>
        <w:rFonts w:ascii="Arial" w:hAnsi="Arial" w:hint="default"/>
      </w:rPr>
    </w:lvl>
    <w:lvl w:ilvl="2" w:tplc="53BCC93C" w:tentative="1">
      <w:start w:val="1"/>
      <w:numFmt w:val="bullet"/>
      <w:lvlText w:val="•"/>
      <w:lvlJc w:val="left"/>
      <w:pPr>
        <w:tabs>
          <w:tab w:val="num" w:pos="2160"/>
        </w:tabs>
        <w:ind w:left="2160" w:hanging="360"/>
      </w:pPr>
      <w:rPr>
        <w:rFonts w:ascii="Arial" w:hAnsi="Arial" w:hint="default"/>
      </w:rPr>
    </w:lvl>
    <w:lvl w:ilvl="3" w:tplc="8CBA478A" w:tentative="1">
      <w:start w:val="1"/>
      <w:numFmt w:val="bullet"/>
      <w:lvlText w:val="•"/>
      <w:lvlJc w:val="left"/>
      <w:pPr>
        <w:tabs>
          <w:tab w:val="num" w:pos="2880"/>
        </w:tabs>
        <w:ind w:left="2880" w:hanging="360"/>
      </w:pPr>
      <w:rPr>
        <w:rFonts w:ascii="Arial" w:hAnsi="Arial" w:hint="default"/>
      </w:rPr>
    </w:lvl>
    <w:lvl w:ilvl="4" w:tplc="F276637C" w:tentative="1">
      <w:start w:val="1"/>
      <w:numFmt w:val="bullet"/>
      <w:lvlText w:val="•"/>
      <w:lvlJc w:val="left"/>
      <w:pPr>
        <w:tabs>
          <w:tab w:val="num" w:pos="3600"/>
        </w:tabs>
        <w:ind w:left="3600" w:hanging="360"/>
      </w:pPr>
      <w:rPr>
        <w:rFonts w:ascii="Arial" w:hAnsi="Arial" w:hint="default"/>
      </w:rPr>
    </w:lvl>
    <w:lvl w:ilvl="5" w:tplc="0B949F7E" w:tentative="1">
      <w:start w:val="1"/>
      <w:numFmt w:val="bullet"/>
      <w:lvlText w:val="•"/>
      <w:lvlJc w:val="left"/>
      <w:pPr>
        <w:tabs>
          <w:tab w:val="num" w:pos="4320"/>
        </w:tabs>
        <w:ind w:left="4320" w:hanging="360"/>
      </w:pPr>
      <w:rPr>
        <w:rFonts w:ascii="Arial" w:hAnsi="Arial" w:hint="default"/>
      </w:rPr>
    </w:lvl>
    <w:lvl w:ilvl="6" w:tplc="30B88C08" w:tentative="1">
      <w:start w:val="1"/>
      <w:numFmt w:val="bullet"/>
      <w:lvlText w:val="•"/>
      <w:lvlJc w:val="left"/>
      <w:pPr>
        <w:tabs>
          <w:tab w:val="num" w:pos="5040"/>
        </w:tabs>
        <w:ind w:left="5040" w:hanging="360"/>
      </w:pPr>
      <w:rPr>
        <w:rFonts w:ascii="Arial" w:hAnsi="Arial" w:hint="default"/>
      </w:rPr>
    </w:lvl>
    <w:lvl w:ilvl="7" w:tplc="7F184F7C" w:tentative="1">
      <w:start w:val="1"/>
      <w:numFmt w:val="bullet"/>
      <w:lvlText w:val="•"/>
      <w:lvlJc w:val="left"/>
      <w:pPr>
        <w:tabs>
          <w:tab w:val="num" w:pos="5760"/>
        </w:tabs>
        <w:ind w:left="5760" w:hanging="360"/>
      </w:pPr>
      <w:rPr>
        <w:rFonts w:ascii="Arial" w:hAnsi="Arial" w:hint="default"/>
      </w:rPr>
    </w:lvl>
    <w:lvl w:ilvl="8" w:tplc="B6322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3239E9"/>
    <w:multiLevelType w:val="hybridMultilevel"/>
    <w:tmpl w:val="829E6B68"/>
    <w:lvl w:ilvl="0" w:tplc="54C0A46E">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6D67315"/>
    <w:multiLevelType w:val="hybridMultilevel"/>
    <w:tmpl w:val="6BF0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8"/>
  </w:num>
  <w:num w:numId="2" w16cid:durableId="1818299601">
    <w:abstractNumId w:val="43"/>
  </w:num>
  <w:num w:numId="3" w16cid:durableId="822310547">
    <w:abstractNumId w:val="24"/>
  </w:num>
  <w:num w:numId="4" w16cid:durableId="1022324696">
    <w:abstractNumId w:val="12"/>
  </w:num>
  <w:num w:numId="5" w16cid:durableId="1224174323">
    <w:abstractNumId w:val="4"/>
  </w:num>
  <w:num w:numId="6" w16cid:durableId="789395670">
    <w:abstractNumId w:val="36"/>
  </w:num>
  <w:num w:numId="7" w16cid:durableId="1395664146">
    <w:abstractNumId w:val="13"/>
  </w:num>
  <w:num w:numId="8" w16cid:durableId="1404523643">
    <w:abstractNumId w:val="20"/>
  </w:num>
  <w:num w:numId="9" w16cid:durableId="543058064">
    <w:abstractNumId w:val="44"/>
  </w:num>
  <w:num w:numId="10" w16cid:durableId="185564226">
    <w:abstractNumId w:val="41"/>
  </w:num>
  <w:num w:numId="11" w16cid:durableId="165559958">
    <w:abstractNumId w:val="40"/>
  </w:num>
  <w:num w:numId="12" w16cid:durableId="1653867933">
    <w:abstractNumId w:val="7"/>
  </w:num>
  <w:num w:numId="13" w16cid:durableId="2048480466">
    <w:abstractNumId w:val="15"/>
  </w:num>
  <w:num w:numId="14" w16cid:durableId="123162328">
    <w:abstractNumId w:val="18"/>
  </w:num>
  <w:num w:numId="15" w16cid:durableId="311373112">
    <w:abstractNumId w:val="33"/>
  </w:num>
  <w:num w:numId="16" w16cid:durableId="1054475442">
    <w:abstractNumId w:val="19"/>
  </w:num>
  <w:num w:numId="17" w16cid:durableId="1069427642">
    <w:abstractNumId w:val="31"/>
  </w:num>
  <w:num w:numId="18" w16cid:durableId="1874415200">
    <w:abstractNumId w:val="28"/>
  </w:num>
  <w:num w:numId="19" w16cid:durableId="228931519">
    <w:abstractNumId w:val="37"/>
  </w:num>
  <w:num w:numId="20" w16cid:durableId="1723091846">
    <w:abstractNumId w:val="10"/>
  </w:num>
  <w:num w:numId="21" w16cid:durableId="241762332">
    <w:abstractNumId w:val="22"/>
  </w:num>
  <w:num w:numId="22" w16cid:durableId="1273628953">
    <w:abstractNumId w:val="2"/>
  </w:num>
  <w:num w:numId="23" w16cid:durableId="1433016067">
    <w:abstractNumId w:val="39"/>
  </w:num>
  <w:num w:numId="24" w16cid:durableId="289214236">
    <w:abstractNumId w:val="26"/>
  </w:num>
  <w:num w:numId="25" w16cid:durableId="1140422469">
    <w:abstractNumId w:val="11"/>
  </w:num>
  <w:num w:numId="26" w16cid:durableId="906961042">
    <w:abstractNumId w:val="8"/>
  </w:num>
  <w:num w:numId="27" w16cid:durableId="2135365669">
    <w:abstractNumId w:val="17"/>
  </w:num>
  <w:num w:numId="28" w16cid:durableId="1381174842">
    <w:abstractNumId w:val="14"/>
  </w:num>
  <w:num w:numId="29" w16cid:durableId="954601300">
    <w:abstractNumId w:val="35"/>
  </w:num>
  <w:num w:numId="30" w16cid:durableId="858661157">
    <w:abstractNumId w:val="21"/>
  </w:num>
  <w:num w:numId="31" w16cid:durableId="825365161">
    <w:abstractNumId w:val="0"/>
  </w:num>
  <w:num w:numId="32" w16cid:durableId="543760627">
    <w:abstractNumId w:val="32"/>
  </w:num>
  <w:num w:numId="33" w16cid:durableId="2011131162">
    <w:abstractNumId w:val="29"/>
  </w:num>
  <w:num w:numId="34" w16cid:durableId="1756516340">
    <w:abstractNumId w:val="23"/>
  </w:num>
  <w:num w:numId="35" w16cid:durableId="1568110023">
    <w:abstractNumId w:val="42"/>
  </w:num>
  <w:num w:numId="36" w16cid:durableId="1725369227">
    <w:abstractNumId w:val="6"/>
  </w:num>
  <w:num w:numId="37" w16cid:durableId="302932881">
    <w:abstractNumId w:val="25"/>
  </w:num>
  <w:num w:numId="38" w16cid:durableId="1562060984">
    <w:abstractNumId w:val="1"/>
  </w:num>
  <w:num w:numId="39" w16cid:durableId="1576549665">
    <w:abstractNumId w:val="5"/>
  </w:num>
  <w:num w:numId="40" w16cid:durableId="66003381">
    <w:abstractNumId w:val="27"/>
  </w:num>
  <w:num w:numId="41" w16cid:durableId="384527307">
    <w:abstractNumId w:val="16"/>
  </w:num>
  <w:num w:numId="42" w16cid:durableId="371542348">
    <w:abstractNumId w:val="9"/>
  </w:num>
  <w:num w:numId="43" w16cid:durableId="1037000528">
    <w:abstractNumId w:val="3"/>
  </w:num>
  <w:num w:numId="44" w16cid:durableId="1556353195">
    <w:abstractNumId w:val="30"/>
  </w:num>
  <w:num w:numId="45" w16cid:durableId="1411391578">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1EE9"/>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06D"/>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89B"/>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50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A"/>
    <w:rsid w:val="000D6D9E"/>
    <w:rsid w:val="000D7224"/>
    <w:rsid w:val="000D7404"/>
    <w:rsid w:val="000D75F9"/>
    <w:rsid w:val="000D7652"/>
    <w:rsid w:val="000D7B61"/>
    <w:rsid w:val="000E0602"/>
    <w:rsid w:val="000E0631"/>
    <w:rsid w:val="000E0649"/>
    <w:rsid w:val="000E08C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B90"/>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A7F"/>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6E7"/>
    <w:rsid w:val="00115BC9"/>
    <w:rsid w:val="00116046"/>
    <w:rsid w:val="00116722"/>
    <w:rsid w:val="00116C9A"/>
    <w:rsid w:val="00116F74"/>
    <w:rsid w:val="001176B7"/>
    <w:rsid w:val="00117D45"/>
    <w:rsid w:val="00117E8D"/>
    <w:rsid w:val="001200CB"/>
    <w:rsid w:val="00120340"/>
    <w:rsid w:val="001203E7"/>
    <w:rsid w:val="001204FD"/>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2D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69A"/>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C2D"/>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4FD"/>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0CC"/>
    <w:rsid w:val="001B72D6"/>
    <w:rsid w:val="001B7859"/>
    <w:rsid w:val="001C038F"/>
    <w:rsid w:val="001C0591"/>
    <w:rsid w:val="001C064D"/>
    <w:rsid w:val="001C06F8"/>
    <w:rsid w:val="001C07A1"/>
    <w:rsid w:val="001C0BD4"/>
    <w:rsid w:val="001C0C36"/>
    <w:rsid w:val="001C0FE5"/>
    <w:rsid w:val="001C10B7"/>
    <w:rsid w:val="001C16BF"/>
    <w:rsid w:val="001C184D"/>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5F54"/>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91A"/>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3B0"/>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60AD"/>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62F"/>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5EB9"/>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3FCE"/>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D9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2F52"/>
    <w:rsid w:val="0033355F"/>
    <w:rsid w:val="00333860"/>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A0"/>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0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1E"/>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B7CA1"/>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195"/>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CC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5BE"/>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027"/>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5FC2"/>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0F"/>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58"/>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46A"/>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6EB1"/>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B9C"/>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BBB"/>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5A6"/>
    <w:rsid w:val="0053768D"/>
    <w:rsid w:val="005376A5"/>
    <w:rsid w:val="005378AE"/>
    <w:rsid w:val="00537F2E"/>
    <w:rsid w:val="00537F98"/>
    <w:rsid w:val="0054008E"/>
    <w:rsid w:val="005400D6"/>
    <w:rsid w:val="005403D8"/>
    <w:rsid w:val="00540AD9"/>
    <w:rsid w:val="00542074"/>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802"/>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4DE8"/>
    <w:rsid w:val="005B57C5"/>
    <w:rsid w:val="005B57F2"/>
    <w:rsid w:val="005B5F79"/>
    <w:rsid w:val="005B5F7B"/>
    <w:rsid w:val="005B618B"/>
    <w:rsid w:val="005B6301"/>
    <w:rsid w:val="005B6354"/>
    <w:rsid w:val="005B6A10"/>
    <w:rsid w:val="005B6AB2"/>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60E"/>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5AB9"/>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49D"/>
    <w:rsid w:val="0061093F"/>
    <w:rsid w:val="00610E2B"/>
    <w:rsid w:val="006116B4"/>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63A"/>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37DAD"/>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3D0"/>
    <w:rsid w:val="00772C5A"/>
    <w:rsid w:val="00772F91"/>
    <w:rsid w:val="00773003"/>
    <w:rsid w:val="0077333A"/>
    <w:rsid w:val="00773812"/>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B7B"/>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4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72E"/>
    <w:rsid w:val="007A1901"/>
    <w:rsid w:val="007A21C5"/>
    <w:rsid w:val="007A21E2"/>
    <w:rsid w:val="007A2462"/>
    <w:rsid w:val="007A254E"/>
    <w:rsid w:val="007A2D75"/>
    <w:rsid w:val="007A2FCB"/>
    <w:rsid w:val="007A323B"/>
    <w:rsid w:val="007A393B"/>
    <w:rsid w:val="007A3983"/>
    <w:rsid w:val="007A3DA2"/>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1FE"/>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6F64"/>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D8B"/>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0B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590"/>
    <w:rsid w:val="00887615"/>
    <w:rsid w:val="00887860"/>
    <w:rsid w:val="00887A62"/>
    <w:rsid w:val="00887D49"/>
    <w:rsid w:val="00887ECF"/>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AF"/>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23F"/>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21E"/>
    <w:rsid w:val="009063EA"/>
    <w:rsid w:val="00906591"/>
    <w:rsid w:val="00906EB7"/>
    <w:rsid w:val="009073FC"/>
    <w:rsid w:val="0090797F"/>
    <w:rsid w:val="00907A61"/>
    <w:rsid w:val="00907CFC"/>
    <w:rsid w:val="00907E1F"/>
    <w:rsid w:val="00910802"/>
    <w:rsid w:val="00910905"/>
    <w:rsid w:val="0091099F"/>
    <w:rsid w:val="00910B97"/>
    <w:rsid w:val="00910BAF"/>
    <w:rsid w:val="00910E17"/>
    <w:rsid w:val="00910FF2"/>
    <w:rsid w:val="00911040"/>
    <w:rsid w:val="00911982"/>
    <w:rsid w:val="00911ED3"/>
    <w:rsid w:val="00912095"/>
    <w:rsid w:val="00912569"/>
    <w:rsid w:val="00913040"/>
    <w:rsid w:val="009136DA"/>
    <w:rsid w:val="00913FF8"/>
    <w:rsid w:val="00914077"/>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68F6"/>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DED"/>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45D"/>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202"/>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14"/>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2EE0"/>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1DA"/>
    <w:rsid w:val="009D5745"/>
    <w:rsid w:val="009D5AD2"/>
    <w:rsid w:val="009D5DA2"/>
    <w:rsid w:val="009D6433"/>
    <w:rsid w:val="009D69D1"/>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5AA"/>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72"/>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0CE"/>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CBD"/>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AE1"/>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42C"/>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2F3D"/>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A"/>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CDB"/>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166"/>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5A1"/>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007"/>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09"/>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B"/>
    <w:rsid w:val="00BD54ED"/>
    <w:rsid w:val="00BD5737"/>
    <w:rsid w:val="00BD582B"/>
    <w:rsid w:val="00BD58E1"/>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237"/>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4B9"/>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00B"/>
    <w:rsid w:val="00C332D0"/>
    <w:rsid w:val="00C333AC"/>
    <w:rsid w:val="00C33865"/>
    <w:rsid w:val="00C338DA"/>
    <w:rsid w:val="00C3463A"/>
    <w:rsid w:val="00C346C4"/>
    <w:rsid w:val="00C347EC"/>
    <w:rsid w:val="00C34824"/>
    <w:rsid w:val="00C349DA"/>
    <w:rsid w:val="00C35401"/>
    <w:rsid w:val="00C35BCD"/>
    <w:rsid w:val="00C35E39"/>
    <w:rsid w:val="00C36150"/>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899"/>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1C76"/>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B7"/>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8A6"/>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B58"/>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4F6"/>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BEC"/>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522"/>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BC4"/>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B7C19"/>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5810"/>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4FEB"/>
    <w:rsid w:val="00E054F8"/>
    <w:rsid w:val="00E05520"/>
    <w:rsid w:val="00E0573F"/>
    <w:rsid w:val="00E059A0"/>
    <w:rsid w:val="00E05A9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B63"/>
    <w:rsid w:val="00E55E0C"/>
    <w:rsid w:val="00E56355"/>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7"/>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0BE"/>
    <w:rsid w:val="00E7685E"/>
    <w:rsid w:val="00E76E32"/>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77"/>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3E5"/>
    <w:rsid w:val="00EE3404"/>
    <w:rsid w:val="00EE3594"/>
    <w:rsid w:val="00EE3723"/>
    <w:rsid w:val="00EE3877"/>
    <w:rsid w:val="00EE38E7"/>
    <w:rsid w:val="00EE4570"/>
    <w:rsid w:val="00EE4598"/>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18"/>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82D"/>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8"/>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3"/>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2B9F"/>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1E5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5A4D"/>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54858054">
      <w:bodyDiv w:val="1"/>
      <w:marLeft w:val="0"/>
      <w:marRight w:val="0"/>
      <w:marTop w:val="0"/>
      <w:marBottom w:val="0"/>
      <w:divBdr>
        <w:top w:val="none" w:sz="0" w:space="0" w:color="auto"/>
        <w:left w:val="none" w:sz="0" w:space="0" w:color="auto"/>
        <w:bottom w:val="none" w:sz="0" w:space="0" w:color="auto"/>
        <w:right w:val="none" w:sz="0" w:space="0" w:color="auto"/>
      </w:divBdr>
      <w:divsChild>
        <w:div w:id="250626464">
          <w:marLeft w:val="562"/>
          <w:marRight w:val="0"/>
          <w:marTop w:val="0"/>
          <w:marBottom w:val="0"/>
          <w:divBdr>
            <w:top w:val="none" w:sz="0" w:space="0" w:color="auto"/>
            <w:left w:val="none" w:sz="0" w:space="0" w:color="auto"/>
            <w:bottom w:val="none" w:sz="0" w:space="0" w:color="auto"/>
            <w:right w:val="none" w:sz="0" w:space="0" w:color="auto"/>
          </w:divBdr>
        </w:div>
      </w:divsChild>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3086994">
      <w:bodyDiv w:val="1"/>
      <w:marLeft w:val="0"/>
      <w:marRight w:val="0"/>
      <w:marTop w:val="0"/>
      <w:marBottom w:val="0"/>
      <w:divBdr>
        <w:top w:val="none" w:sz="0" w:space="0" w:color="auto"/>
        <w:left w:val="none" w:sz="0" w:space="0" w:color="auto"/>
        <w:bottom w:val="none" w:sz="0" w:space="0" w:color="auto"/>
        <w:right w:val="none" w:sz="0" w:space="0" w:color="auto"/>
      </w:divBdr>
      <w:divsChild>
        <w:div w:id="33582020">
          <w:marLeft w:val="216"/>
          <w:marRight w:val="0"/>
          <w:marTop w:val="240"/>
          <w:marBottom w:val="0"/>
          <w:divBdr>
            <w:top w:val="none" w:sz="0" w:space="0" w:color="auto"/>
            <w:left w:val="none" w:sz="0" w:space="0" w:color="auto"/>
            <w:bottom w:val="none" w:sz="0" w:space="0" w:color="auto"/>
            <w:right w:val="none" w:sz="0" w:space="0" w:color="auto"/>
          </w:divBdr>
        </w:div>
        <w:div w:id="322784112">
          <w:marLeft w:val="562"/>
          <w:marRight w:val="0"/>
          <w:marTop w:val="0"/>
          <w:marBottom w:val="0"/>
          <w:divBdr>
            <w:top w:val="none" w:sz="0" w:space="0" w:color="auto"/>
            <w:left w:val="none" w:sz="0" w:space="0" w:color="auto"/>
            <w:bottom w:val="none" w:sz="0" w:space="0" w:color="auto"/>
            <w:right w:val="none" w:sz="0" w:space="0" w:color="auto"/>
          </w:divBdr>
        </w:div>
        <w:div w:id="1938170698">
          <w:marLeft w:val="216"/>
          <w:marRight w:val="0"/>
          <w:marTop w:val="240"/>
          <w:marBottom w:val="0"/>
          <w:divBdr>
            <w:top w:val="none" w:sz="0" w:space="0" w:color="auto"/>
            <w:left w:val="none" w:sz="0" w:space="0" w:color="auto"/>
            <w:bottom w:val="none" w:sz="0" w:space="0" w:color="auto"/>
            <w:right w:val="none" w:sz="0" w:space="0" w:color="auto"/>
          </w:divBdr>
        </w:div>
        <w:div w:id="997925525">
          <w:marLeft w:val="562"/>
          <w:marRight w:val="0"/>
          <w:marTop w:val="0"/>
          <w:marBottom w:val="0"/>
          <w:divBdr>
            <w:top w:val="none" w:sz="0" w:space="0" w:color="auto"/>
            <w:left w:val="none" w:sz="0" w:space="0" w:color="auto"/>
            <w:bottom w:val="none" w:sz="0" w:space="0" w:color="auto"/>
            <w:right w:val="none" w:sz="0" w:space="0" w:color="auto"/>
          </w:divBdr>
        </w:div>
        <w:div w:id="1079016275">
          <w:marLeft w:val="216"/>
          <w:marRight w:val="0"/>
          <w:marTop w:val="240"/>
          <w:marBottom w:val="0"/>
          <w:divBdr>
            <w:top w:val="none" w:sz="0" w:space="0" w:color="auto"/>
            <w:left w:val="none" w:sz="0" w:space="0" w:color="auto"/>
            <w:bottom w:val="none" w:sz="0" w:space="0" w:color="auto"/>
            <w:right w:val="none" w:sz="0" w:space="0" w:color="auto"/>
          </w:divBdr>
        </w:div>
        <w:div w:id="693502154">
          <w:marLeft w:val="562"/>
          <w:marRight w:val="0"/>
          <w:marTop w:val="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2830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8026</TotalTime>
  <Pages>5</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687</cp:revision>
  <cp:lastPrinted>2022-09-27T22:38:00Z</cp:lastPrinted>
  <dcterms:created xsi:type="dcterms:W3CDTF">2022-08-08T20:12:00Z</dcterms:created>
  <dcterms:modified xsi:type="dcterms:W3CDTF">2023-02-13T17:20:00Z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